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6423F" w14:textId="4CF36ED3" w:rsidR="00102814" w:rsidRPr="00102814" w:rsidRDefault="00102814" w:rsidP="00102814">
      <w:pPr>
        <w:spacing w:after="300" w:line="240" w:lineRule="auto"/>
        <w:ind w:left="9"/>
        <w:rPr>
          <w:rFonts w:ascii="Segoe UI" w:eastAsia="Times New Roman" w:hAnsi="Segoe UI" w:cs="Segoe UI"/>
          <w:color w:val="000000"/>
          <w:sz w:val="33"/>
          <w:szCs w:val="33"/>
        </w:rPr>
      </w:pPr>
      <w:r w:rsidRPr="00102814">
        <w:rPr>
          <w:rFonts w:ascii="Segoe UI" w:eastAsia="Times New Roman" w:hAnsi="Segoe UI" w:cs="Segoe UI"/>
          <w:color w:val="000000"/>
          <w:sz w:val="33"/>
          <w:szCs w:val="33"/>
          <w:shd w:val="clear" w:color="auto" w:fill="FFFFFF"/>
        </w:rPr>
        <w:t>Create a policy assignment to identify non-compliant resources in your Azure environment</w:t>
      </w:r>
    </w:p>
    <w:p w14:paraId="12664240" w14:textId="77777777" w:rsidR="00102814" w:rsidRPr="00102814" w:rsidRDefault="00102814" w:rsidP="00102814">
      <w:pPr>
        <w:spacing w:before="300" w:after="300" w:line="240" w:lineRule="auto"/>
        <w:ind w:left="9"/>
        <w:rPr>
          <w:rFonts w:ascii="Segoe UI" w:eastAsia="Times New Roman" w:hAnsi="Segoe UI" w:cs="Segoe UI"/>
          <w:color w:val="000000"/>
          <w:sz w:val="30"/>
          <w:szCs w:val="30"/>
        </w:rPr>
      </w:pPr>
      <w:r w:rsidRPr="00102814">
        <w:rPr>
          <w:rFonts w:ascii="Segoe UI" w:eastAsia="Times New Roman" w:hAnsi="Segoe UI" w:cs="Segoe UI"/>
          <w:color w:val="000000"/>
          <w:sz w:val="30"/>
          <w:szCs w:val="30"/>
          <w:shd w:val="clear" w:color="auto" w:fill="FFFFFF"/>
        </w:rPr>
        <w:t>Scenario</w:t>
      </w:r>
    </w:p>
    <w:p w14:paraId="12664241"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first step in understanding compliance in Azure is to identify the status of your resources. This exercise steps you through the process of creating a policy assignment to identify virtual machines that aren't using managed disks. At the end of this process, you'll successfully identify virtual machines that aren't using managed disks. They're non-compliant with the policy assignment.</w:t>
      </w:r>
    </w:p>
    <w:p w14:paraId="12664242"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Create a policy assignment</w:t>
      </w:r>
    </w:p>
    <w:p w14:paraId="12664243" w14:textId="77777777" w:rsidR="00102814" w:rsidRPr="00102814" w:rsidRDefault="00102814" w:rsidP="00102814">
      <w:pPr>
        <w:numPr>
          <w:ilvl w:val="1"/>
          <w:numId w:val="1"/>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Launch the Azure Policy service in the Azure portal by clicking </w:t>
      </w:r>
      <w:r w:rsidRPr="00102814">
        <w:rPr>
          <w:rFonts w:ascii="Segoe UI" w:eastAsia="Times New Roman" w:hAnsi="Segoe UI" w:cs="Segoe UI"/>
          <w:b/>
          <w:bCs/>
          <w:color w:val="000000"/>
          <w:sz w:val="21"/>
          <w:szCs w:val="21"/>
          <w:shd w:val="clear" w:color="auto" w:fill="FFFFFF"/>
        </w:rPr>
        <w:t>All services</w:t>
      </w:r>
      <w:r w:rsidRPr="00102814">
        <w:rPr>
          <w:rFonts w:ascii="Segoe UI" w:eastAsia="Times New Roman" w:hAnsi="Segoe UI" w:cs="Segoe UI"/>
          <w:color w:val="000000"/>
          <w:sz w:val="21"/>
          <w:szCs w:val="21"/>
          <w:shd w:val="clear" w:color="auto" w:fill="FFFFFF"/>
        </w:rPr>
        <w:t>, then searching for and selecting Policy.</w:t>
      </w:r>
    </w:p>
    <w:p w14:paraId="12664244"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0" wp14:editId="12664271">
            <wp:extent cx="4572000" cy="1514475"/>
            <wp:effectExtent l="0" t="0" r="0" b="9525"/>
            <wp:docPr id="7" name="Picture 7" descr="h54dbm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4dbmf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12664245" w14:textId="77777777" w:rsidR="00102814" w:rsidRPr="00102814" w:rsidRDefault="00102814" w:rsidP="00102814">
      <w:pPr>
        <w:numPr>
          <w:ilvl w:val="1"/>
          <w:numId w:val="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Assignments on the left side of the Azure Policy page. An assignment is a policy that has been assigned to take place within a specific scope.</w:t>
      </w:r>
    </w:p>
    <w:p w14:paraId="12664246"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2" wp14:editId="12664273">
            <wp:extent cx="4572000" cy="1704340"/>
            <wp:effectExtent l="0" t="0" r="0" b="0"/>
            <wp:docPr id="6" name="Picture 6" descr="xcoslw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oslwx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1704340"/>
                    </a:xfrm>
                    <a:prstGeom prst="rect">
                      <a:avLst/>
                    </a:prstGeom>
                    <a:noFill/>
                    <a:ln>
                      <a:noFill/>
                    </a:ln>
                  </pic:spPr>
                </pic:pic>
              </a:graphicData>
            </a:graphic>
          </wp:inline>
        </w:drawing>
      </w:r>
    </w:p>
    <w:p w14:paraId="12664247" w14:textId="77777777" w:rsidR="00102814" w:rsidRPr="00102814" w:rsidRDefault="00102814" w:rsidP="00102814">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from the top of the </w:t>
      </w:r>
      <w:r w:rsidRPr="00102814">
        <w:rPr>
          <w:rFonts w:ascii="Segoe UI" w:eastAsia="Times New Roman" w:hAnsi="Segoe UI" w:cs="Segoe UI"/>
          <w:b/>
          <w:bCs/>
          <w:color w:val="000000"/>
          <w:sz w:val="21"/>
          <w:szCs w:val="21"/>
          <w:shd w:val="clear" w:color="auto" w:fill="FFFFFF"/>
        </w:rPr>
        <w:t>Policy - Assignments</w:t>
      </w:r>
      <w:r w:rsidRPr="00102814">
        <w:rPr>
          <w:rFonts w:ascii="Segoe UI" w:eastAsia="Times New Roman" w:hAnsi="Segoe UI" w:cs="Segoe UI"/>
          <w:color w:val="000000"/>
          <w:sz w:val="21"/>
          <w:szCs w:val="21"/>
          <w:shd w:val="clear" w:color="auto" w:fill="FFFFFF"/>
        </w:rPr>
        <w:t> page.</w:t>
      </w:r>
    </w:p>
    <w:p w14:paraId="12664248"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lastRenderedPageBreak/>
        <w:drawing>
          <wp:inline distT="0" distB="0" distL="0" distR="0" wp14:anchorId="12664274" wp14:editId="12664275">
            <wp:extent cx="4572000" cy="2999105"/>
            <wp:effectExtent l="0" t="0" r="0" b="0"/>
            <wp:docPr id="5" name="Picture 5" descr="rdouwl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ouwlv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999105"/>
                    </a:xfrm>
                    <a:prstGeom prst="rect">
                      <a:avLst/>
                    </a:prstGeom>
                    <a:noFill/>
                    <a:ln>
                      <a:noFill/>
                    </a:ln>
                  </pic:spPr>
                </pic:pic>
              </a:graphicData>
            </a:graphic>
          </wp:inline>
        </w:drawing>
      </w:r>
    </w:p>
    <w:p w14:paraId="12664249"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On the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page, select the Scope by clicking the ellipsis and selecting either a management group or subscription. Optionally, select a resource group. A scope determines what resources or grouping of resources the policy assignment gets enforced on. Then click </w:t>
      </w:r>
      <w:r w:rsidRPr="00102814">
        <w:rPr>
          <w:rFonts w:ascii="Segoe UI" w:eastAsia="Times New Roman" w:hAnsi="Segoe UI" w:cs="Segoe UI"/>
          <w:b/>
          <w:bCs/>
          <w:color w:val="000000"/>
          <w:sz w:val="21"/>
          <w:szCs w:val="21"/>
          <w:shd w:val="clear" w:color="auto" w:fill="FFFFFF"/>
        </w:rPr>
        <w:t>Select</w:t>
      </w:r>
      <w:r w:rsidRPr="00102814">
        <w:rPr>
          <w:rFonts w:ascii="Segoe UI" w:eastAsia="Times New Roman" w:hAnsi="Segoe UI" w:cs="Segoe UI"/>
          <w:color w:val="000000"/>
          <w:sz w:val="21"/>
          <w:szCs w:val="21"/>
          <w:shd w:val="clear" w:color="auto" w:fill="FFFFFF"/>
        </w:rPr>
        <w:t> at the bottom of the Scope page.</w:t>
      </w:r>
    </w:p>
    <w:p w14:paraId="1266424A"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Resources can be excluded based on the Scope. Exclusions start at one level lower than the level of the Scope. Exclusions are optional, so leave it blank for now.</w:t>
      </w:r>
    </w:p>
    <w:p w14:paraId="1266424B"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the Policy definition ellipsis to open the list of available definitions. Azure Policy comes with built-in policy definitions you can use. Many are available, such as:</w:t>
      </w:r>
    </w:p>
    <w:p w14:paraId="1266424C"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Enforce tag and its value</w:t>
      </w:r>
    </w:p>
    <w:p w14:paraId="1266424D"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Apply tag and its value</w:t>
      </w:r>
    </w:p>
    <w:p w14:paraId="1266424E"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Require SQL Server version 12.0</w:t>
      </w:r>
    </w:p>
    <w:p w14:paraId="1266424F" w14:textId="77777777" w:rsidR="00102814" w:rsidRPr="00102814" w:rsidRDefault="00102814" w:rsidP="00102814">
      <w:pPr>
        <w:numPr>
          <w:ilvl w:val="1"/>
          <w:numId w:val="6"/>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Search through the policy definitions list to find the Audit VMs that do not use managed disks definition. Click on that policy and click Select.</w:t>
      </w:r>
    </w:p>
    <w:p w14:paraId="12664250"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6" wp14:editId="12664277">
            <wp:extent cx="4572000" cy="1974850"/>
            <wp:effectExtent l="0" t="0" r="0" b="6350"/>
            <wp:docPr id="4" name="Picture 4" descr="befm6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fm64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74850"/>
                    </a:xfrm>
                    <a:prstGeom prst="rect">
                      <a:avLst/>
                    </a:prstGeom>
                    <a:noFill/>
                    <a:ln>
                      <a:noFill/>
                    </a:ln>
                  </pic:spPr>
                </pic:pic>
              </a:graphicData>
            </a:graphic>
          </wp:inline>
        </w:drawing>
      </w:r>
    </w:p>
    <w:p w14:paraId="12664251" w14:textId="0DEBEF4B"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w:t>
      </w:r>
      <w:r w:rsidRPr="00102814">
        <w:rPr>
          <w:rFonts w:ascii="Segoe UI" w:eastAsia="Times New Roman" w:hAnsi="Segoe UI" w:cs="Segoe UI"/>
          <w:b/>
          <w:bCs/>
          <w:color w:val="000000"/>
          <w:sz w:val="21"/>
          <w:szCs w:val="21"/>
          <w:shd w:val="clear" w:color="auto" w:fill="FFFFFF"/>
        </w:rPr>
        <w:t>Assignment name</w:t>
      </w:r>
      <w:r w:rsidRPr="00102814">
        <w:rPr>
          <w:rFonts w:ascii="Segoe UI" w:eastAsia="Times New Roman" w:hAnsi="Segoe UI" w:cs="Segoe UI"/>
          <w:color w:val="000000"/>
          <w:sz w:val="21"/>
          <w:szCs w:val="21"/>
          <w:shd w:val="clear" w:color="auto" w:fill="FFFFFF"/>
        </w:rPr>
        <w:t> is automatically populated with the policy name you selected, but you can change it. For this example, leave </w:t>
      </w:r>
      <w:r w:rsidRPr="00102814">
        <w:rPr>
          <w:rFonts w:ascii="Segoe UI" w:eastAsia="Times New Roman" w:hAnsi="Segoe UI" w:cs="Segoe UI"/>
          <w:i/>
          <w:i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You can also add an optional </w:t>
      </w:r>
      <w:r w:rsidRPr="00102814">
        <w:rPr>
          <w:rFonts w:ascii="Segoe UI" w:eastAsia="Times New Roman" w:hAnsi="Segoe UI" w:cs="Segoe UI"/>
          <w:b/>
          <w:bCs/>
          <w:color w:val="000000"/>
          <w:sz w:val="21"/>
          <w:szCs w:val="21"/>
          <w:shd w:val="clear" w:color="auto" w:fill="FFFFFF"/>
        </w:rPr>
        <w:t>Description</w:t>
      </w:r>
      <w:r w:rsidRPr="00102814">
        <w:rPr>
          <w:rFonts w:ascii="Segoe UI" w:eastAsia="Times New Roman" w:hAnsi="Segoe UI" w:cs="Segoe UI"/>
          <w:color w:val="000000"/>
          <w:sz w:val="21"/>
          <w:szCs w:val="21"/>
          <w:shd w:val="clear" w:color="auto" w:fill="FFFFFF"/>
        </w:rPr>
        <w:t xml:space="preserve">. The description provides details about this policy </w:t>
      </w:r>
      <w:r w:rsidRPr="00102814">
        <w:rPr>
          <w:rFonts w:ascii="Segoe UI" w:eastAsia="Times New Roman" w:hAnsi="Segoe UI" w:cs="Segoe UI"/>
          <w:color w:val="000000"/>
          <w:sz w:val="21"/>
          <w:szCs w:val="21"/>
          <w:shd w:val="clear" w:color="auto" w:fill="FFFFFF"/>
        </w:rPr>
        <w:lastRenderedPageBreak/>
        <w:t>assignment. </w:t>
      </w:r>
      <w:r w:rsidRPr="00102814">
        <w:rPr>
          <w:rFonts w:ascii="Segoe UI" w:eastAsia="Times New Roman" w:hAnsi="Segoe UI" w:cs="Segoe UI"/>
          <w:b/>
          <w:bCs/>
          <w:color w:val="000000"/>
          <w:sz w:val="21"/>
          <w:szCs w:val="21"/>
          <w:shd w:val="clear" w:color="auto" w:fill="FFFFFF"/>
        </w:rPr>
        <w:t>Assigned by</w:t>
      </w:r>
      <w:r w:rsidR="00F02EC6">
        <w:rPr>
          <w:rFonts w:ascii="Segoe UI" w:eastAsia="Times New Roman" w:hAnsi="Segoe UI" w:cs="Segoe UI"/>
          <w:b/>
          <w:bCs/>
          <w:color w:val="000000"/>
          <w:sz w:val="21"/>
          <w:szCs w:val="21"/>
          <w:shd w:val="clear" w:color="auto" w:fill="FFFFFF"/>
        </w:rPr>
        <w:t xml:space="preserve"> </w:t>
      </w:r>
      <w:r w:rsidRPr="00102814">
        <w:rPr>
          <w:rFonts w:ascii="Segoe UI" w:eastAsia="Times New Roman" w:hAnsi="Segoe UI" w:cs="Segoe UI"/>
          <w:color w:val="000000"/>
          <w:sz w:val="21"/>
          <w:szCs w:val="21"/>
          <w:shd w:val="clear" w:color="auto" w:fill="FFFFFF"/>
        </w:rPr>
        <w:t>will automatically fill based on who is logged in. This field is optional, so custom values can be entered.</w:t>
      </w:r>
    </w:p>
    <w:p w14:paraId="12664252"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Leave </w:t>
      </w:r>
      <w:r w:rsidRPr="00102814">
        <w:rPr>
          <w:rFonts w:ascii="Segoe UI" w:eastAsia="Times New Roman" w:hAnsi="Segoe UI" w:cs="Segoe UI"/>
          <w:b/>
          <w:bCs/>
          <w:color w:val="000000"/>
          <w:sz w:val="21"/>
          <w:szCs w:val="21"/>
          <w:shd w:val="clear" w:color="auto" w:fill="FFFFFF"/>
        </w:rPr>
        <w:t>Create a Managed Identity</w:t>
      </w:r>
      <w:r w:rsidRPr="00102814">
        <w:rPr>
          <w:rFonts w:ascii="Segoe UI" w:eastAsia="Times New Roman" w:hAnsi="Segoe UI" w:cs="Segoe UI"/>
          <w:color w:val="000000"/>
          <w:sz w:val="21"/>
          <w:szCs w:val="21"/>
          <w:shd w:val="clear" w:color="auto" w:fill="FFFFFF"/>
        </w:rPr>
        <w:t> unchecked. This box must be checked when the policy or initiative includes a policy with the </w:t>
      </w:r>
      <w:proofErr w:type="spellStart"/>
      <w:r w:rsidRPr="00102814">
        <w:rPr>
          <w:rFonts w:ascii="Segoe UI" w:eastAsia="Times New Roman" w:hAnsi="Segoe UI" w:cs="Segoe UI"/>
          <w:color w:val="000000"/>
          <w:sz w:val="21"/>
          <w:szCs w:val="21"/>
        </w:rPr>
        <w:fldChar w:fldCharType="begin"/>
      </w:r>
      <w:r w:rsidRPr="00102814">
        <w:rPr>
          <w:rFonts w:ascii="Segoe UI" w:eastAsia="Times New Roman" w:hAnsi="Segoe UI" w:cs="Segoe UI"/>
          <w:color w:val="000000"/>
          <w:sz w:val="21"/>
          <w:szCs w:val="21"/>
        </w:rPr>
        <w:instrText xml:space="preserve"> HYPERLINK "https://docs.microsoft.com/en-us/azure/governance/policy/concepts/effects" \l "deployifnotexists" </w:instrText>
      </w:r>
      <w:r w:rsidRPr="00102814">
        <w:rPr>
          <w:rFonts w:ascii="Segoe UI" w:eastAsia="Times New Roman" w:hAnsi="Segoe UI" w:cs="Segoe UI"/>
          <w:color w:val="000000"/>
          <w:sz w:val="21"/>
          <w:szCs w:val="21"/>
        </w:rPr>
        <w:fldChar w:fldCharType="separate"/>
      </w:r>
      <w:r w:rsidRPr="00102814">
        <w:rPr>
          <w:rFonts w:ascii="Segoe UI" w:eastAsia="Times New Roman" w:hAnsi="Segoe UI" w:cs="Segoe UI"/>
          <w:i/>
          <w:iCs/>
          <w:color w:val="0000FF"/>
          <w:sz w:val="21"/>
          <w:szCs w:val="21"/>
          <w:u w:val="single"/>
          <w:shd w:val="clear" w:color="auto" w:fill="FFFFFF"/>
        </w:rPr>
        <w:t>deployIfNotExists</w:t>
      </w:r>
      <w:proofErr w:type="spellEnd"/>
      <w:r w:rsidRPr="00102814">
        <w:rPr>
          <w:rFonts w:ascii="Segoe UI" w:eastAsia="Times New Roman" w:hAnsi="Segoe UI" w:cs="Segoe UI"/>
          <w:color w:val="000000"/>
          <w:sz w:val="21"/>
          <w:szCs w:val="21"/>
        </w:rPr>
        <w:fldChar w:fldCharType="end"/>
      </w:r>
      <w:r w:rsidRPr="00102814">
        <w:rPr>
          <w:rFonts w:ascii="Segoe UI" w:eastAsia="Times New Roman" w:hAnsi="Segoe UI" w:cs="Segoe UI"/>
          <w:color w:val="000000"/>
          <w:sz w:val="21"/>
          <w:szCs w:val="21"/>
          <w:shd w:val="clear" w:color="auto" w:fill="FFFFFF"/>
        </w:rPr>
        <w:t xml:space="preserve"> effect. As the policy used for this </w:t>
      </w:r>
      <w:proofErr w:type="spellStart"/>
      <w:r w:rsidRPr="00102814">
        <w:rPr>
          <w:rFonts w:ascii="Segoe UI" w:eastAsia="Times New Roman" w:hAnsi="Segoe UI" w:cs="Segoe UI"/>
          <w:color w:val="000000"/>
          <w:sz w:val="21"/>
          <w:szCs w:val="21"/>
          <w:shd w:val="clear" w:color="auto" w:fill="FFFFFF"/>
        </w:rPr>
        <w:t>quickstart</w:t>
      </w:r>
      <w:proofErr w:type="spellEnd"/>
      <w:r w:rsidRPr="00102814">
        <w:rPr>
          <w:rFonts w:ascii="Segoe UI" w:eastAsia="Times New Roman" w:hAnsi="Segoe UI" w:cs="Segoe UI"/>
          <w:color w:val="000000"/>
          <w:sz w:val="21"/>
          <w:szCs w:val="21"/>
          <w:shd w:val="clear" w:color="auto" w:fill="FFFFFF"/>
        </w:rPr>
        <w:t xml:space="preserve"> doesn't, leave it blank.</w:t>
      </w:r>
    </w:p>
    <w:p w14:paraId="12664253"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Click </w:t>
      </w:r>
      <w:r w:rsidRPr="00102814">
        <w:rPr>
          <w:rFonts w:ascii="Segoe UI" w:eastAsia="Times New Roman" w:hAnsi="Segoe UI" w:cs="Segoe UI"/>
          <w:b/>
          <w:bCs/>
          <w:color w:val="000000"/>
          <w:sz w:val="21"/>
          <w:szCs w:val="21"/>
          <w:shd w:val="clear" w:color="auto" w:fill="FFFFFF"/>
        </w:rPr>
        <w:t>Assign</w:t>
      </w:r>
      <w:r w:rsidRPr="00102814">
        <w:rPr>
          <w:rFonts w:ascii="Segoe UI" w:eastAsia="Times New Roman" w:hAnsi="Segoe UI" w:cs="Segoe UI"/>
          <w:color w:val="000000"/>
          <w:sz w:val="21"/>
          <w:szCs w:val="21"/>
          <w:shd w:val="clear" w:color="auto" w:fill="FFFFFF"/>
        </w:rPr>
        <w:t>.</w:t>
      </w:r>
    </w:p>
    <w:p w14:paraId="12664254"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You’re now ready to identify non-compliant resources to understand the compliance state of your environment.</w:t>
      </w:r>
    </w:p>
    <w:p w14:paraId="12664255"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Implement a new custom policy</w:t>
      </w:r>
    </w:p>
    <w:p w14:paraId="12664256"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Now that you've assigned a built-in policy definition, you can do more with Azure Policy. Next, create a new custom policy to save costs by validating that VMs created in your environment can't be in the G series. This way, every time a user in your organization tries to create VM in the G series, the request is denied.</w:t>
      </w:r>
    </w:p>
    <w:p w14:paraId="12664257" w14:textId="77777777" w:rsidR="00102814" w:rsidRPr="00102814" w:rsidRDefault="00102814" w:rsidP="00102814">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Definitions</w:t>
      </w:r>
      <w:r w:rsidRPr="00102814">
        <w:rPr>
          <w:rFonts w:ascii="Segoe UI" w:eastAsia="Times New Roman" w:hAnsi="Segoe UI" w:cs="Segoe UI"/>
          <w:color w:val="000000"/>
          <w:sz w:val="21"/>
          <w:szCs w:val="21"/>
          <w:shd w:val="clear" w:color="auto" w:fill="FFFFFF"/>
        </w:rPr>
        <w:t> under </w:t>
      </w:r>
      <w:r w:rsidRPr="00102814">
        <w:rPr>
          <w:rFonts w:ascii="Segoe UI" w:eastAsia="Times New Roman" w:hAnsi="Segoe UI" w:cs="Segoe UI"/>
          <w:b/>
          <w:bCs/>
          <w:color w:val="000000"/>
          <w:sz w:val="21"/>
          <w:szCs w:val="21"/>
          <w:shd w:val="clear" w:color="auto" w:fill="FFFFFF"/>
        </w:rPr>
        <w:t>Authoring</w:t>
      </w:r>
      <w:r w:rsidRPr="00102814">
        <w:rPr>
          <w:rFonts w:ascii="Segoe UI" w:eastAsia="Times New Roman" w:hAnsi="Segoe UI" w:cs="Segoe UI"/>
          <w:color w:val="000000"/>
          <w:sz w:val="21"/>
          <w:szCs w:val="21"/>
          <w:shd w:val="clear" w:color="auto" w:fill="FFFFFF"/>
        </w:rPr>
        <w:t> in the left side of the Azure Policy page.</w:t>
      </w:r>
    </w:p>
    <w:p w14:paraId="12664258"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8" wp14:editId="12664279">
            <wp:extent cx="4572000" cy="1514475"/>
            <wp:effectExtent l="0" t="0" r="0" b="9525"/>
            <wp:docPr id="3" name="Picture 3" descr="wnbynk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bynku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12664259" w14:textId="77777777" w:rsidR="00102814" w:rsidRPr="00102814" w:rsidRDefault="00102814" w:rsidP="00102814">
      <w:pPr>
        <w:numPr>
          <w:ilvl w:val="1"/>
          <w:numId w:val="9"/>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 Policy definition</w:t>
      </w:r>
      <w:r w:rsidRPr="00102814">
        <w:rPr>
          <w:rFonts w:ascii="Segoe UI" w:eastAsia="Times New Roman" w:hAnsi="Segoe UI" w:cs="Segoe UI"/>
          <w:color w:val="000000"/>
          <w:sz w:val="21"/>
          <w:szCs w:val="21"/>
          <w:shd w:val="clear" w:color="auto" w:fill="FFFFFF"/>
        </w:rPr>
        <w:t> at the top of the page. This button opens to the Policy definition page.</w:t>
      </w:r>
    </w:p>
    <w:p w14:paraId="1266425A" w14:textId="77777777" w:rsidR="00102814" w:rsidRPr="00102814" w:rsidRDefault="00102814" w:rsidP="00102814">
      <w:pPr>
        <w:numPr>
          <w:ilvl w:val="1"/>
          <w:numId w:val="9"/>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Enter the following information:</w:t>
      </w:r>
    </w:p>
    <w:p w14:paraId="1266425B"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management group or subscription in which the policy definition is saved. Select by using the ellipsis on Definition location.</w:t>
      </w:r>
    </w:p>
    <w:p w14:paraId="1266425C"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EFEFEF"/>
        </w:rPr>
        <w:t>If you plan to apply this policy definition to multiple subscriptions, the location must be a management group that contains the subscriptions you assign the policy to. The same is true for an initiative definition.</w:t>
      </w:r>
    </w:p>
    <w:p w14:paraId="1266425D"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name of the policy definition - Require VM SKUs smaller than the G series</w:t>
      </w:r>
    </w:p>
    <w:p w14:paraId="1266425E"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description of what the policy definition is intended to do – This policy definition enforces that all VMs created in this scope have SKUs smaller than the G series to reduce cost.</w:t>
      </w:r>
    </w:p>
    <w:p w14:paraId="1266425F" w14:textId="372F013E"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Choose from existing options (such as Compute</w:t>
      </w:r>
      <w:r w:rsidR="00F02EC6" w:rsidRPr="00102814">
        <w:rPr>
          <w:rFonts w:ascii="Segoe UI" w:eastAsia="Times New Roman" w:hAnsi="Segoe UI" w:cs="Segoe UI"/>
          <w:color w:val="000000"/>
          <w:sz w:val="21"/>
          <w:szCs w:val="21"/>
          <w:shd w:val="clear" w:color="auto" w:fill="FFFFFF"/>
        </w:rPr>
        <w:t>) or</w:t>
      </w:r>
      <w:r w:rsidRPr="00102814">
        <w:rPr>
          <w:rFonts w:ascii="Segoe UI" w:eastAsia="Times New Roman" w:hAnsi="Segoe UI" w:cs="Segoe UI"/>
          <w:color w:val="000000"/>
          <w:sz w:val="21"/>
          <w:szCs w:val="21"/>
          <w:shd w:val="clear" w:color="auto" w:fill="FFFFFF"/>
        </w:rPr>
        <w:t xml:space="preserve"> create a new category for this policy definition.</w:t>
      </w:r>
    </w:p>
    <w:p w14:paraId="12664260"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Copy the following JSON code and then update it for your needs with:</w:t>
      </w:r>
    </w:p>
    <w:p w14:paraId="12664261"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parameters.</w:t>
      </w:r>
    </w:p>
    <w:p w14:paraId="12664262"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rules/conditions, in this case – VM SKU size equal to G series</w:t>
      </w:r>
    </w:p>
    <w:p w14:paraId="12664263"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effect, in this case – Deny.</w:t>
      </w:r>
    </w:p>
    <w:p w14:paraId="12664264" w14:textId="77777777" w:rsidR="00102814" w:rsidRPr="00102814" w:rsidRDefault="00102814" w:rsidP="00102814">
      <w:pPr>
        <w:spacing w:after="0" w:line="240" w:lineRule="auto"/>
        <w:ind w:left="9"/>
        <w:rPr>
          <w:rFonts w:ascii="Consolas" w:eastAsia="Times New Roman" w:hAnsi="Consolas" w:cs="Calibri"/>
          <w:sz w:val="21"/>
          <w:szCs w:val="21"/>
        </w:rPr>
      </w:pPr>
      <w:bookmarkStart w:id="0" w:name="_GoBack"/>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policyRule</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r>
      <w:r w:rsidRPr="00102814">
        <w:rPr>
          <w:rFonts w:ascii="Consolas" w:eastAsia="Times New Roman" w:hAnsi="Consolas" w:cs="Calibri"/>
          <w:color w:val="000000"/>
          <w:sz w:val="21"/>
          <w:szCs w:val="21"/>
          <w:shd w:val="clear" w:color="auto" w:fill="EFEFEF"/>
        </w:rPr>
        <w:lastRenderedPageBreak/>
        <w:t xml:space="preserve">       </w:t>
      </w:r>
      <w:r w:rsidRPr="00102814">
        <w:rPr>
          <w:rFonts w:ascii="Consolas" w:eastAsia="Times New Roman" w:hAnsi="Consolas" w:cs="Calibri"/>
          <w:color w:val="008800"/>
          <w:sz w:val="21"/>
          <w:szCs w:val="21"/>
          <w:shd w:val="clear" w:color="auto" w:fill="EFEFEF"/>
        </w:rPr>
        <w:t>"if"</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allOf</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"field"</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"type"</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"equals"</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Microsoft.Compute</w:t>
      </w:r>
      <w:proofErr w:type="spellEnd"/>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virtualMachines</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"field"</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Microsoft.Compute</w:t>
      </w:r>
      <w:proofErr w:type="spellEnd"/>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virtualMachines</w:t>
      </w:r>
      <w:proofErr w:type="spellEnd"/>
      <w:r w:rsidRPr="00102814">
        <w:rPr>
          <w:rFonts w:ascii="Consolas" w:eastAsia="Times New Roman" w:hAnsi="Consolas" w:cs="Calibri"/>
          <w:color w:val="008800"/>
          <w:sz w:val="21"/>
          <w:szCs w:val="21"/>
          <w:shd w:val="clear" w:color="auto" w:fill="EFEFEF"/>
        </w:rPr>
        <w:t>/sku.name"</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"like"</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Standard_G</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"then"</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"effect"</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"deny"</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r>
      <w:r w:rsidRPr="00102814">
        <w:rPr>
          <w:rFonts w:ascii="Consolas" w:eastAsia="Times New Roman" w:hAnsi="Consolas" w:cs="Calibri"/>
          <w:color w:val="666600"/>
          <w:sz w:val="21"/>
          <w:szCs w:val="21"/>
          <w:shd w:val="clear" w:color="auto" w:fill="EFEFEF"/>
        </w:rPr>
        <w:t>}</w:t>
      </w:r>
      <w:bookmarkEnd w:id="0"/>
    </w:p>
    <w:p w14:paraId="12664265"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EFEFEF"/>
        </w:rPr>
        <w:t>Not that you can import sample policy definition from GitHub</w:t>
      </w:r>
    </w:p>
    <w:p w14:paraId="12664266"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A" wp14:editId="1266427B">
            <wp:extent cx="2677160" cy="841375"/>
            <wp:effectExtent l="0" t="0" r="8890" b="0"/>
            <wp:docPr id="2" name="Picture 2" descr="68un9j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un9ju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160" cy="841375"/>
                    </a:xfrm>
                    <a:prstGeom prst="rect">
                      <a:avLst/>
                    </a:prstGeom>
                    <a:noFill/>
                    <a:ln>
                      <a:noFill/>
                    </a:ln>
                  </pic:spPr>
                </pic:pic>
              </a:graphicData>
            </a:graphic>
          </wp:inline>
        </w:drawing>
      </w:r>
    </w:p>
    <w:p w14:paraId="12664267" w14:textId="77777777" w:rsidR="00102814" w:rsidRPr="00102814" w:rsidRDefault="00102814" w:rsidP="00102814">
      <w:pPr>
        <w:numPr>
          <w:ilvl w:val="1"/>
          <w:numId w:val="1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Save.</w:t>
      </w:r>
    </w:p>
    <w:p w14:paraId="12664268"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Identify non-compliant resources</w:t>
      </w:r>
    </w:p>
    <w:p w14:paraId="12664269" w14:textId="77777777" w:rsidR="00102814" w:rsidRPr="00102814" w:rsidRDefault="00102814" w:rsidP="00102814">
      <w:pPr>
        <w:numPr>
          <w:ilvl w:val="1"/>
          <w:numId w:val="1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Compliance</w:t>
      </w:r>
      <w:r w:rsidRPr="00102814">
        <w:rPr>
          <w:rFonts w:ascii="Segoe UI" w:eastAsia="Times New Roman" w:hAnsi="Segoe UI" w:cs="Segoe UI"/>
          <w:color w:val="000000"/>
          <w:sz w:val="21"/>
          <w:szCs w:val="21"/>
          <w:shd w:val="clear" w:color="auto" w:fill="FFFFFF"/>
        </w:rPr>
        <w:t> in the left side of the page. Then locate the </w:t>
      </w:r>
      <w:r w:rsidRPr="00102814">
        <w:rPr>
          <w:rFonts w:ascii="Segoe UI" w:eastAsia="Times New Roman" w:hAnsi="Segoe UI" w:cs="Segoe UI"/>
          <w:b/>
          <w:b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policy assignment you created.</w:t>
      </w:r>
    </w:p>
    <w:p w14:paraId="1266426A"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C" wp14:editId="1266427D">
            <wp:extent cx="4572000" cy="1470660"/>
            <wp:effectExtent l="0" t="0" r="0" b="0"/>
            <wp:docPr id="1" name="Picture 1" descr="w689zh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689zhf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1470660"/>
                    </a:xfrm>
                    <a:prstGeom prst="rect">
                      <a:avLst/>
                    </a:prstGeom>
                    <a:noFill/>
                    <a:ln>
                      <a:noFill/>
                    </a:ln>
                  </pic:spPr>
                </pic:pic>
              </a:graphicData>
            </a:graphic>
          </wp:inline>
        </w:drawing>
      </w:r>
    </w:p>
    <w:p w14:paraId="1266426B"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If there are any existing resources that aren't compliant with this new assignment, they appear under Non-compliant resources. When a condition is evaluated against your existing resources and found true, then those resources are marked as non-compliant with the policy. The following table shows how different policy effects work with the condition evaluation for the resulting compliance state. Although you don’t see the evaluation logic in the Azure portal, the compliance state results are shown. The compliance state result is either compliant or non-compliant.</w:t>
      </w:r>
    </w:p>
    <w:p w14:paraId="1266426C"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1266426D" w14:textId="77777777" w:rsidR="00102814" w:rsidRPr="00102814" w:rsidRDefault="00102814" w:rsidP="00102814">
      <w:pPr>
        <w:spacing w:beforeAutospacing="1" w:after="0" w:afterAutospacing="1" w:line="240" w:lineRule="auto"/>
        <w:ind w:left="9"/>
        <w:rPr>
          <w:rFonts w:ascii="Calibri" w:eastAsia="Times New Roman" w:hAnsi="Calibri" w:cs="Calibri"/>
        </w:rPr>
      </w:pPr>
      <w:r w:rsidRPr="00102814">
        <w:rPr>
          <w:rFonts w:ascii="Calibri" w:eastAsia="Times New Roman" w:hAnsi="Calibri" w:cs="Calibri"/>
          <w:i/>
          <w:iCs/>
          <w:color w:val="595959"/>
          <w:sz w:val="18"/>
          <w:szCs w:val="18"/>
        </w:rPr>
        <w:t> </w:t>
      </w:r>
    </w:p>
    <w:p w14:paraId="1266426E"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1266426F"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D85B4" w14:textId="77777777" w:rsidR="00192245" w:rsidRDefault="00192245" w:rsidP="00102814">
      <w:pPr>
        <w:spacing w:after="0" w:line="240" w:lineRule="auto"/>
      </w:pPr>
      <w:r>
        <w:separator/>
      </w:r>
    </w:p>
  </w:endnote>
  <w:endnote w:type="continuationSeparator" w:id="0">
    <w:p w14:paraId="708B5FC3" w14:textId="77777777" w:rsidR="00192245" w:rsidRDefault="00192245" w:rsidP="0010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3CE87" w14:textId="77777777" w:rsidR="00192245" w:rsidRDefault="00192245" w:rsidP="00102814">
      <w:pPr>
        <w:spacing w:after="0" w:line="240" w:lineRule="auto"/>
      </w:pPr>
      <w:r>
        <w:separator/>
      </w:r>
    </w:p>
  </w:footnote>
  <w:footnote w:type="continuationSeparator" w:id="0">
    <w:p w14:paraId="22C79B04" w14:textId="77777777" w:rsidR="00192245" w:rsidRDefault="00192245" w:rsidP="0010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0E95"/>
    <w:multiLevelType w:val="multilevel"/>
    <w:tmpl w:val="1CB00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C13"/>
    <w:multiLevelType w:val="hybridMultilevel"/>
    <w:tmpl w:val="8154DF2C"/>
    <w:lvl w:ilvl="0" w:tplc="5174241A">
      <w:start w:val="1"/>
      <w:numFmt w:val="bullet"/>
      <w:lvlText w:val=""/>
      <w:lvlJc w:val="left"/>
      <w:pPr>
        <w:tabs>
          <w:tab w:val="num" w:pos="720"/>
        </w:tabs>
        <w:ind w:left="720" w:hanging="360"/>
      </w:pPr>
      <w:rPr>
        <w:rFonts w:ascii="Symbol" w:hAnsi="Symbol" w:hint="default"/>
        <w:sz w:val="20"/>
      </w:rPr>
    </w:lvl>
    <w:lvl w:ilvl="1" w:tplc="5CCC7A48">
      <w:start w:val="1"/>
      <w:numFmt w:val="decimal"/>
      <w:lvlText w:val="%2."/>
      <w:lvlJc w:val="left"/>
      <w:pPr>
        <w:tabs>
          <w:tab w:val="num" w:pos="1440"/>
        </w:tabs>
        <w:ind w:left="1440" w:hanging="360"/>
      </w:pPr>
    </w:lvl>
    <w:lvl w:ilvl="2" w:tplc="87B470D8" w:tentative="1">
      <w:start w:val="1"/>
      <w:numFmt w:val="decimal"/>
      <w:lvlText w:val="%3."/>
      <w:lvlJc w:val="left"/>
      <w:pPr>
        <w:tabs>
          <w:tab w:val="num" w:pos="2160"/>
        </w:tabs>
        <w:ind w:left="2160" w:hanging="360"/>
      </w:pPr>
    </w:lvl>
    <w:lvl w:ilvl="3" w:tplc="A3046596" w:tentative="1">
      <w:start w:val="1"/>
      <w:numFmt w:val="bullet"/>
      <w:lvlText w:val=""/>
      <w:lvlJc w:val="left"/>
      <w:pPr>
        <w:tabs>
          <w:tab w:val="num" w:pos="2880"/>
        </w:tabs>
        <w:ind w:left="2880" w:hanging="360"/>
      </w:pPr>
      <w:rPr>
        <w:rFonts w:ascii="Wingdings" w:hAnsi="Wingdings" w:hint="default"/>
        <w:sz w:val="20"/>
      </w:rPr>
    </w:lvl>
    <w:lvl w:ilvl="4" w:tplc="B19401EA" w:tentative="1">
      <w:start w:val="1"/>
      <w:numFmt w:val="bullet"/>
      <w:lvlText w:val=""/>
      <w:lvlJc w:val="left"/>
      <w:pPr>
        <w:tabs>
          <w:tab w:val="num" w:pos="3600"/>
        </w:tabs>
        <w:ind w:left="3600" w:hanging="360"/>
      </w:pPr>
      <w:rPr>
        <w:rFonts w:ascii="Wingdings" w:hAnsi="Wingdings" w:hint="default"/>
        <w:sz w:val="20"/>
      </w:rPr>
    </w:lvl>
    <w:lvl w:ilvl="5" w:tplc="EB083E4C" w:tentative="1">
      <w:start w:val="1"/>
      <w:numFmt w:val="bullet"/>
      <w:lvlText w:val=""/>
      <w:lvlJc w:val="left"/>
      <w:pPr>
        <w:tabs>
          <w:tab w:val="num" w:pos="4320"/>
        </w:tabs>
        <w:ind w:left="4320" w:hanging="360"/>
      </w:pPr>
      <w:rPr>
        <w:rFonts w:ascii="Wingdings" w:hAnsi="Wingdings" w:hint="default"/>
        <w:sz w:val="20"/>
      </w:rPr>
    </w:lvl>
    <w:lvl w:ilvl="6" w:tplc="6BC29328" w:tentative="1">
      <w:start w:val="1"/>
      <w:numFmt w:val="bullet"/>
      <w:lvlText w:val=""/>
      <w:lvlJc w:val="left"/>
      <w:pPr>
        <w:tabs>
          <w:tab w:val="num" w:pos="5040"/>
        </w:tabs>
        <w:ind w:left="5040" w:hanging="360"/>
      </w:pPr>
      <w:rPr>
        <w:rFonts w:ascii="Wingdings" w:hAnsi="Wingdings" w:hint="default"/>
        <w:sz w:val="20"/>
      </w:rPr>
    </w:lvl>
    <w:lvl w:ilvl="7" w:tplc="0388F700" w:tentative="1">
      <w:start w:val="1"/>
      <w:numFmt w:val="bullet"/>
      <w:lvlText w:val=""/>
      <w:lvlJc w:val="left"/>
      <w:pPr>
        <w:tabs>
          <w:tab w:val="num" w:pos="5760"/>
        </w:tabs>
        <w:ind w:left="5760" w:hanging="360"/>
      </w:pPr>
      <w:rPr>
        <w:rFonts w:ascii="Wingdings" w:hAnsi="Wingdings" w:hint="default"/>
        <w:sz w:val="20"/>
      </w:rPr>
    </w:lvl>
    <w:lvl w:ilvl="8" w:tplc="7514DD5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0686"/>
    <w:multiLevelType w:val="hybridMultilevel"/>
    <w:tmpl w:val="C0146C04"/>
    <w:lvl w:ilvl="0" w:tplc="757698F2">
      <w:start w:val="1"/>
      <w:numFmt w:val="bullet"/>
      <w:lvlText w:val=""/>
      <w:lvlJc w:val="left"/>
      <w:pPr>
        <w:tabs>
          <w:tab w:val="num" w:pos="720"/>
        </w:tabs>
        <w:ind w:left="720" w:hanging="360"/>
      </w:pPr>
      <w:rPr>
        <w:rFonts w:ascii="Symbol" w:hAnsi="Symbol" w:hint="default"/>
        <w:sz w:val="20"/>
      </w:rPr>
    </w:lvl>
    <w:lvl w:ilvl="1" w:tplc="083656A8">
      <w:start w:val="1"/>
      <w:numFmt w:val="bullet"/>
      <w:lvlText w:val=""/>
      <w:lvlJc w:val="left"/>
      <w:pPr>
        <w:tabs>
          <w:tab w:val="num" w:pos="1440"/>
        </w:tabs>
        <w:ind w:left="1440" w:hanging="360"/>
      </w:pPr>
      <w:rPr>
        <w:rFonts w:ascii="Symbol" w:hAnsi="Symbol" w:hint="default"/>
        <w:sz w:val="20"/>
      </w:rPr>
    </w:lvl>
    <w:lvl w:ilvl="2" w:tplc="EB329B78">
      <w:start w:val="1"/>
      <w:numFmt w:val="decimal"/>
      <w:lvlText w:val="%3."/>
      <w:lvlJc w:val="left"/>
      <w:pPr>
        <w:tabs>
          <w:tab w:val="num" w:pos="2160"/>
        </w:tabs>
        <w:ind w:left="2160" w:hanging="360"/>
      </w:pPr>
    </w:lvl>
    <w:lvl w:ilvl="3" w:tplc="C2EA33DC" w:tentative="1">
      <w:start w:val="1"/>
      <w:numFmt w:val="bullet"/>
      <w:lvlText w:val=""/>
      <w:lvlJc w:val="left"/>
      <w:pPr>
        <w:tabs>
          <w:tab w:val="num" w:pos="2880"/>
        </w:tabs>
        <w:ind w:left="2880" w:hanging="360"/>
      </w:pPr>
      <w:rPr>
        <w:rFonts w:ascii="Wingdings" w:hAnsi="Wingdings" w:hint="default"/>
        <w:sz w:val="20"/>
      </w:rPr>
    </w:lvl>
    <w:lvl w:ilvl="4" w:tplc="015ED75E" w:tentative="1">
      <w:start w:val="1"/>
      <w:numFmt w:val="bullet"/>
      <w:lvlText w:val=""/>
      <w:lvlJc w:val="left"/>
      <w:pPr>
        <w:tabs>
          <w:tab w:val="num" w:pos="3600"/>
        </w:tabs>
        <w:ind w:left="3600" w:hanging="360"/>
      </w:pPr>
      <w:rPr>
        <w:rFonts w:ascii="Wingdings" w:hAnsi="Wingdings" w:hint="default"/>
        <w:sz w:val="20"/>
      </w:rPr>
    </w:lvl>
    <w:lvl w:ilvl="5" w:tplc="D29422B6" w:tentative="1">
      <w:start w:val="1"/>
      <w:numFmt w:val="bullet"/>
      <w:lvlText w:val=""/>
      <w:lvlJc w:val="left"/>
      <w:pPr>
        <w:tabs>
          <w:tab w:val="num" w:pos="4320"/>
        </w:tabs>
        <w:ind w:left="4320" w:hanging="360"/>
      </w:pPr>
      <w:rPr>
        <w:rFonts w:ascii="Wingdings" w:hAnsi="Wingdings" w:hint="default"/>
        <w:sz w:val="20"/>
      </w:rPr>
    </w:lvl>
    <w:lvl w:ilvl="6" w:tplc="EDB2633C" w:tentative="1">
      <w:start w:val="1"/>
      <w:numFmt w:val="bullet"/>
      <w:lvlText w:val=""/>
      <w:lvlJc w:val="left"/>
      <w:pPr>
        <w:tabs>
          <w:tab w:val="num" w:pos="5040"/>
        </w:tabs>
        <w:ind w:left="5040" w:hanging="360"/>
      </w:pPr>
      <w:rPr>
        <w:rFonts w:ascii="Wingdings" w:hAnsi="Wingdings" w:hint="default"/>
        <w:sz w:val="20"/>
      </w:rPr>
    </w:lvl>
    <w:lvl w:ilvl="7" w:tplc="54A81488" w:tentative="1">
      <w:start w:val="1"/>
      <w:numFmt w:val="bullet"/>
      <w:lvlText w:val=""/>
      <w:lvlJc w:val="left"/>
      <w:pPr>
        <w:tabs>
          <w:tab w:val="num" w:pos="5760"/>
        </w:tabs>
        <w:ind w:left="5760" w:hanging="360"/>
      </w:pPr>
      <w:rPr>
        <w:rFonts w:ascii="Wingdings" w:hAnsi="Wingdings" w:hint="default"/>
        <w:sz w:val="20"/>
      </w:rPr>
    </w:lvl>
    <w:lvl w:ilvl="8" w:tplc="0D1C637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209BC"/>
    <w:multiLevelType w:val="hybridMultilevel"/>
    <w:tmpl w:val="3330258E"/>
    <w:lvl w:ilvl="0" w:tplc="FA320474">
      <w:start w:val="1"/>
      <w:numFmt w:val="bullet"/>
      <w:lvlText w:val=""/>
      <w:lvlJc w:val="left"/>
      <w:pPr>
        <w:tabs>
          <w:tab w:val="num" w:pos="720"/>
        </w:tabs>
        <w:ind w:left="720" w:hanging="360"/>
      </w:pPr>
      <w:rPr>
        <w:rFonts w:ascii="Symbol" w:hAnsi="Symbol" w:hint="default"/>
        <w:sz w:val="20"/>
      </w:rPr>
    </w:lvl>
    <w:lvl w:ilvl="1" w:tplc="466615B4">
      <w:start w:val="1"/>
      <w:numFmt w:val="bullet"/>
      <w:lvlText w:val=""/>
      <w:lvlJc w:val="left"/>
      <w:pPr>
        <w:tabs>
          <w:tab w:val="num" w:pos="1440"/>
        </w:tabs>
        <w:ind w:left="1440" w:hanging="360"/>
      </w:pPr>
      <w:rPr>
        <w:rFonts w:ascii="Symbol" w:hAnsi="Symbol" w:hint="default"/>
        <w:sz w:val="20"/>
      </w:rPr>
    </w:lvl>
    <w:lvl w:ilvl="2" w:tplc="EE8645FC" w:tentative="1">
      <w:start w:val="1"/>
      <w:numFmt w:val="bullet"/>
      <w:lvlText w:val=""/>
      <w:lvlJc w:val="left"/>
      <w:pPr>
        <w:tabs>
          <w:tab w:val="num" w:pos="2160"/>
        </w:tabs>
        <w:ind w:left="2160" w:hanging="360"/>
      </w:pPr>
      <w:rPr>
        <w:rFonts w:ascii="Wingdings" w:hAnsi="Wingdings" w:hint="default"/>
        <w:sz w:val="20"/>
      </w:rPr>
    </w:lvl>
    <w:lvl w:ilvl="3" w:tplc="6BB8DE5C" w:tentative="1">
      <w:start w:val="1"/>
      <w:numFmt w:val="bullet"/>
      <w:lvlText w:val=""/>
      <w:lvlJc w:val="left"/>
      <w:pPr>
        <w:tabs>
          <w:tab w:val="num" w:pos="2880"/>
        </w:tabs>
        <w:ind w:left="2880" w:hanging="360"/>
      </w:pPr>
      <w:rPr>
        <w:rFonts w:ascii="Wingdings" w:hAnsi="Wingdings" w:hint="default"/>
        <w:sz w:val="20"/>
      </w:rPr>
    </w:lvl>
    <w:lvl w:ilvl="4" w:tplc="EA542582" w:tentative="1">
      <w:start w:val="1"/>
      <w:numFmt w:val="bullet"/>
      <w:lvlText w:val=""/>
      <w:lvlJc w:val="left"/>
      <w:pPr>
        <w:tabs>
          <w:tab w:val="num" w:pos="3600"/>
        </w:tabs>
        <w:ind w:left="3600" w:hanging="360"/>
      </w:pPr>
      <w:rPr>
        <w:rFonts w:ascii="Wingdings" w:hAnsi="Wingdings" w:hint="default"/>
        <w:sz w:val="20"/>
      </w:rPr>
    </w:lvl>
    <w:lvl w:ilvl="5" w:tplc="4DE22916" w:tentative="1">
      <w:start w:val="1"/>
      <w:numFmt w:val="bullet"/>
      <w:lvlText w:val=""/>
      <w:lvlJc w:val="left"/>
      <w:pPr>
        <w:tabs>
          <w:tab w:val="num" w:pos="4320"/>
        </w:tabs>
        <w:ind w:left="4320" w:hanging="360"/>
      </w:pPr>
      <w:rPr>
        <w:rFonts w:ascii="Wingdings" w:hAnsi="Wingdings" w:hint="default"/>
        <w:sz w:val="20"/>
      </w:rPr>
    </w:lvl>
    <w:lvl w:ilvl="6" w:tplc="7F00C268" w:tentative="1">
      <w:start w:val="1"/>
      <w:numFmt w:val="bullet"/>
      <w:lvlText w:val=""/>
      <w:lvlJc w:val="left"/>
      <w:pPr>
        <w:tabs>
          <w:tab w:val="num" w:pos="5040"/>
        </w:tabs>
        <w:ind w:left="5040" w:hanging="360"/>
      </w:pPr>
      <w:rPr>
        <w:rFonts w:ascii="Wingdings" w:hAnsi="Wingdings" w:hint="default"/>
        <w:sz w:val="20"/>
      </w:rPr>
    </w:lvl>
    <w:lvl w:ilvl="7" w:tplc="A1CEDD0C" w:tentative="1">
      <w:start w:val="1"/>
      <w:numFmt w:val="bullet"/>
      <w:lvlText w:val=""/>
      <w:lvlJc w:val="left"/>
      <w:pPr>
        <w:tabs>
          <w:tab w:val="num" w:pos="5760"/>
        </w:tabs>
        <w:ind w:left="5760" w:hanging="360"/>
      </w:pPr>
      <w:rPr>
        <w:rFonts w:ascii="Wingdings" w:hAnsi="Wingdings" w:hint="default"/>
        <w:sz w:val="20"/>
      </w:rPr>
    </w:lvl>
    <w:lvl w:ilvl="8" w:tplc="A0CADCA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A6383"/>
    <w:multiLevelType w:val="hybridMultilevel"/>
    <w:tmpl w:val="B678B39C"/>
    <w:lvl w:ilvl="0" w:tplc="F80816DA">
      <w:start w:val="1"/>
      <w:numFmt w:val="bullet"/>
      <w:lvlText w:val=""/>
      <w:lvlJc w:val="left"/>
      <w:pPr>
        <w:tabs>
          <w:tab w:val="num" w:pos="720"/>
        </w:tabs>
        <w:ind w:left="720" w:hanging="360"/>
      </w:pPr>
      <w:rPr>
        <w:rFonts w:ascii="Symbol" w:hAnsi="Symbol" w:hint="default"/>
        <w:sz w:val="20"/>
      </w:rPr>
    </w:lvl>
    <w:lvl w:ilvl="1" w:tplc="313C51CA">
      <w:start w:val="1"/>
      <w:numFmt w:val="decimal"/>
      <w:lvlText w:val="%2."/>
      <w:lvlJc w:val="left"/>
      <w:pPr>
        <w:tabs>
          <w:tab w:val="num" w:pos="1440"/>
        </w:tabs>
        <w:ind w:left="1440" w:hanging="360"/>
      </w:pPr>
    </w:lvl>
    <w:lvl w:ilvl="2" w:tplc="130282D0" w:tentative="1">
      <w:start w:val="1"/>
      <w:numFmt w:val="bullet"/>
      <w:lvlText w:val=""/>
      <w:lvlJc w:val="left"/>
      <w:pPr>
        <w:tabs>
          <w:tab w:val="num" w:pos="2160"/>
        </w:tabs>
        <w:ind w:left="2160" w:hanging="360"/>
      </w:pPr>
      <w:rPr>
        <w:rFonts w:ascii="Wingdings" w:hAnsi="Wingdings" w:hint="default"/>
        <w:sz w:val="20"/>
      </w:rPr>
    </w:lvl>
    <w:lvl w:ilvl="3" w:tplc="F85A2488" w:tentative="1">
      <w:start w:val="1"/>
      <w:numFmt w:val="bullet"/>
      <w:lvlText w:val=""/>
      <w:lvlJc w:val="left"/>
      <w:pPr>
        <w:tabs>
          <w:tab w:val="num" w:pos="2880"/>
        </w:tabs>
        <w:ind w:left="2880" w:hanging="360"/>
      </w:pPr>
      <w:rPr>
        <w:rFonts w:ascii="Wingdings" w:hAnsi="Wingdings" w:hint="default"/>
        <w:sz w:val="20"/>
      </w:rPr>
    </w:lvl>
    <w:lvl w:ilvl="4" w:tplc="EF74D8C4" w:tentative="1">
      <w:start w:val="1"/>
      <w:numFmt w:val="bullet"/>
      <w:lvlText w:val=""/>
      <w:lvlJc w:val="left"/>
      <w:pPr>
        <w:tabs>
          <w:tab w:val="num" w:pos="3600"/>
        </w:tabs>
        <w:ind w:left="3600" w:hanging="360"/>
      </w:pPr>
      <w:rPr>
        <w:rFonts w:ascii="Wingdings" w:hAnsi="Wingdings" w:hint="default"/>
        <w:sz w:val="20"/>
      </w:rPr>
    </w:lvl>
    <w:lvl w:ilvl="5" w:tplc="66E494E2" w:tentative="1">
      <w:start w:val="1"/>
      <w:numFmt w:val="bullet"/>
      <w:lvlText w:val=""/>
      <w:lvlJc w:val="left"/>
      <w:pPr>
        <w:tabs>
          <w:tab w:val="num" w:pos="4320"/>
        </w:tabs>
        <w:ind w:left="4320" w:hanging="360"/>
      </w:pPr>
      <w:rPr>
        <w:rFonts w:ascii="Wingdings" w:hAnsi="Wingdings" w:hint="default"/>
        <w:sz w:val="20"/>
      </w:rPr>
    </w:lvl>
    <w:lvl w:ilvl="6" w:tplc="39B65A30" w:tentative="1">
      <w:start w:val="1"/>
      <w:numFmt w:val="bullet"/>
      <w:lvlText w:val=""/>
      <w:lvlJc w:val="left"/>
      <w:pPr>
        <w:tabs>
          <w:tab w:val="num" w:pos="5040"/>
        </w:tabs>
        <w:ind w:left="5040" w:hanging="360"/>
      </w:pPr>
      <w:rPr>
        <w:rFonts w:ascii="Wingdings" w:hAnsi="Wingdings" w:hint="default"/>
        <w:sz w:val="20"/>
      </w:rPr>
    </w:lvl>
    <w:lvl w:ilvl="7" w:tplc="73308CA4" w:tentative="1">
      <w:start w:val="1"/>
      <w:numFmt w:val="bullet"/>
      <w:lvlText w:val=""/>
      <w:lvlJc w:val="left"/>
      <w:pPr>
        <w:tabs>
          <w:tab w:val="num" w:pos="5760"/>
        </w:tabs>
        <w:ind w:left="5760" w:hanging="360"/>
      </w:pPr>
      <w:rPr>
        <w:rFonts w:ascii="Wingdings" w:hAnsi="Wingdings" w:hint="default"/>
        <w:sz w:val="20"/>
      </w:rPr>
    </w:lvl>
    <w:lvl w:ilvl="8" w:tplc="F81E4B2C"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3"/>
  </w:num>
  <w:num w:numId="6">
    <w:abstractNumId w:val="3"/>
    <w:lvlOverride w:ilvl="1">
      <w:startOverride w:val="4"/>
    </w:lvlOverride>
  </w:num>
  <w:num w:numId="7">
    <w:abstractNumId w:val="4"/>
    <w:lvlOverride w:ilvl="1">
      <w:startOverride w:val="8"/>
    </w:lvlOverride>
  </w:num>
  <w:num w:numId="8">
    <w:abstractNumId w:val="4"/>
    <w:lvlOverride w:ilvl="1">
      <w:startOverride w:val="1"/>
    </w:lvlOverride>
  </w:num>
  <w:num w:numId="9">
    <w:abstractNumId w:val="4"/>
    <w:lvlOverride w:ilvl="1">
      <w:startOverride w:val="2"/>
    </w:lvlOverride>
  </w:num>
  <w:num w:numId="10">
    <w:abstractNumId w:val="2"/>
  </w:num>
  <w:num w:numId="11">
    <w:abstractNumId w:val="2"/>
    <w:lvlOverride w:ilvl="2">
      <w:startOverride w:val="1"/>
    </w:lvlOverride>
  </w:num>
  <w:num w:numId="12">
    <w:abstractNumId w:val="2"/>
    <w:lvlOverride w:ilvl="1">
      <w:startOverride w:val="4"/>
    </w:lvlOverride>
    <w:lvlOverride w:ilvl="2"/>
  </w:num>
  <w:num w:numId="13">
    <w:abstractNumId w:val="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14"/>
    <w:rsid w:val="00102814"/>
    <w:rsid w:val="00192245"/>
    <w:rsid w:val="008B6768"/>
    <w:rsid w:val="008C6DE3"/>
    <w:rsid w:val="00C31CCD"/>
    <w:rsid w:val="00F02EC6"/>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6423F"/>
  <w15:chartTrackingRefBased/>
  <w15:docId w15:val="{F2C58002-878C-458B-B1DF-BFF59E4E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8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814"/>
    <w:rPr>
      <w:color w:val="0000FF"/>
      <w:u w:val="single"/>
    </w:rPr>
  </w:style>
  <w:style w:type="character" w:styleId="HTMLCite">
    <w:name w:val="HTML Cite"/>
    <w:basedOn w:val="DefaultParagraphFont"/>
    <w:uiPriority w:val="99"/>
    <w:semiHidden/>
    <w:unhideWhenUsed/>
    <w:rsid w:val="001028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83865">
      <w:bodyDiv w:val="1"/>
      <w:marLeft w:val="0"/>
      <w:marRight w:val="0"/>
      <w:marTop w:val="0"/>
      <w:marBottom w:val="0"/>
      <w:divBdr>
        <w:top w:val="none" w:sz="0" w:space="0" w:color="auto"/>
        <w:left w:val="none" w:sz="0" w:space="0" w:color="auto"/>
        <w:bottom w:val="none" w:sz="0" w:space="0" w:color="auto"/>
        <w:right w:val="none" w:sz="0" w:space="0" w:color="auto"/>
      </w:divBdr>
      <w:divsChild>
        <w:div w:id="1370183335">
          <w:marLeft w:val="0"/>
          <w:marRight w:val="0"/>
          <w:marTop w:val="0"/>
          <w:marBottom w:val="0"/>
          <w:divBdr>
            <w:top w:val="none" w:sz="0" w:space="0" w:color="auto"/>
            <w:left w:val="none" w:sz="0" w:space="0" w:color="auto"/>
            <w:bottom w:val="none" w:sz="0" w:space="0" w:color="auto"/>
            <w:right w:val="none" w:sz="0" w:space="0" w:color="auto"/>
          </w:divBdr>
          <w:divsChild>
            <w:div w:id="1261110341">
              <w:marLeft w:val="0"/>
              <w:marRight w:val="0"/>
              <w:marTop w:val="0"/>
              <w:marBottom w:val="0"/>
              <w:divBdr>
                <w:top w:val="none" w:sz="0" w:space="0" w:color="auto"/>
                <w:left w:val="none" w:sz="0" w:space="0" w:color="auto"/>
                <w:bottom w:val="none" w:sz="0" w:space="0" w:color="auto"/>
                <w:right w:val="none" w:sz="0" w:space="0" w:color="auto"/>
              </w:divBdr>
              <w:divsChild>
                <w:div w:id="1951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4241E-4B4C-4BA9-9AF9-076724BFBFAD}">
  <ds:schemaRefs>
    <ds:schemaRef ds:uri="http://schemas.microsoft.com/sharepoint/v3/contenttype/forms"/>
  </ds:schemaRefs>
</ds:datastoreItem>
</file>

<file path=customXml/itemProps2.xml><?xml version="1.0" encoding="utf-8"?>
<ds:datastoreItem xmlns:ds="http://schemas.openxmlformats.org/officeDocument/2006/customXml" ds:itemID="{1A055271-5116-4B85-A267-91BBED102A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11AD61-744E-4C24-9BC1-858061DF8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841</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Martin Modin</cp:lastModifiedBy>
  <cp:revision>4</cp:revision>
  <dcterms:created xsi:type="dcterms:W3CDTF">2019-03-22T20:57:00Z</dcterms:created>
  <dcterms:modified xsi:type="dcterms:W3CDTF">2019-12-09T13:54:00Z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2019-03-22T20:57:40.8806184Z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ef15d352-4788-47f1-abb7-8ac1fd03967e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