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9.png" ContentType="image/png"/>
  <Override PartName="/word/media/image17.png" ContentType="image/png"/>
  <Override PartName="/word/media/image5.png" ContentType="image/png"/>
  <Override PartName="/word/media/image13.png" ContentType="image/png"/>
  <Override PartName="/word/media/image11.png" ContentType="image/png"/>
  <Override PartName="/word/media/image1.jpeg" ContentType="image/jpeg"/>
  <Override PartName="/word/media/image4.png" ContentType="image/png"/>
  <Override PartName="/word/media/image6.png" ContentType="image/png"/>
  <Override PartName="/word/media/image14.png" ContentType="image/png"/>
  <Override PartName="/word/media/image8.png" ContentType="image/png"/>
  <Override PartName="/word/media/image3.png" ContentType="image/png"/>
  <Override PartName="/word/media/image12.png" ContentType="image/png"/>
  <Override PartName="/word/media/image2.jpeg" ContentType="image/jpeg"/>
  <Override PartName="/word/media/image16.png" ContentType="image/png"/>
  <Override PartName="/word/media/image15.png" ContentType="image/png"/>
  <Override PartName="/word/media/image10.png" ContentType="image/png"/>
  <Override PartName="/word/media/image18.png" ContentType="image/png"/>
  <Override PartName="/word/media/image20.png" ContentType="image/png"/>
  <Override PartName="/word/media/image7.png" ContentType="image/png"/>
  <Override PartName="/word/media/image19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-347980</wp:posOffset>
            </wp:positionH>
            <wp:positionV relativeFrom="paragraph">
              <wp:posOffset>-85725</wp:posOffset>
            </wp:positionV>
            <wp:extent cx="1283335" cy="6565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335" cy="65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-276225</wp:posOffset>
            </wp:positionH>
            <wp:positionV relativeFrom="paragraph">
              <wp:posOffset>570230</wp:posOffset>
            </wp:positionV>
            <wp:extent cx="1211580" cy="3683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</w:rPr>
        <w:t>Минестерство образования республики Молдовы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Технический университет Молдовы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Факультет комьпьютеры,информатика,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микроэлектроника</w:t>
      </w:r>
    </w:p>
    <w:p>
      <w:pPr>
        <w:pStyle w:val="Normal"/>
        <w:bidi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Департамент </w:t>
      </w:r>
      <w:hyperlink r:id="rId4">
        <w:r>
          <w:rPr>
            <w:rStyle w:val="Hyperlink"/>
            <w:rFonts w:ascii="Times New Roman" w:hAnsi="Times New Roman"/>
            <w:b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</w:rPr>
          <w:t>программного обеспечения и автоматизации</w:t>
        </w:r>
      </w:hyperlink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42"/>
          <w:szCs w:val="42"/>
        </w:rPr>
      </w:pPr>
      <w:r>
        <w:rPr>
          <w:rFonts w:ascii="Times New Roman" w:hAnsi="Times New Roman"/>
          <w:b/>
          <w:bCs/>
          <w:sz w:val="42"/>
          <w:szCs w:val="42"/>
        </w:rPr>
        <w:t>Отчет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Лабораторная работа </w:t>
      </w:r>
      <w:r>
        <w:rPr>
          <w:rFonts w:ascii="Times New Roman" w:hAnsi="Times New Roman"/>
          <w:b/>
          <w:bCs/>
          <w:sz w:val="24"/>
          <w:szCs w:val="24"/>
        </w:rPr>
        <w:t>№5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по дисциплине «CDE»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Тема : </w:t>
      </w:r>
      <w:r>
        <w:rPr>
          <w:rFonts w:ascii="TimesNewRoman,Bold" w:hAnsi="TimesNewRoman,Bold"/>
          <w:b/>
          <w:bCs/>
          <w:sz w:val="22"/>
          <w:szCs w:val="22"/>
          <w:shd w:fill="FFFFFF" w:val="clear"/>
        </w:rPr>
        <w:t xml:space="preserve">ИССЛЕДОВАНИЕ БИПОЛЯРНЫХ </w:t>
      </w:r>
    </w:p>
    <w:p>
      <w:pPr>
        <w:pStyle w:val="Normal"/>
        <w:bidi w:val="0"/>
        <w:jc w:val="center"/>
        <w:rPr>
          <w:rFonts w:ascii="TimesNewRoman,Bold" w:hAnsi="TimesNewRoman,Bold"/>
          <w:b/>
          <w:bCs/>
          <w:sz w:val="22"/>
          <w:szCs w:val="22"/>
          <w:shd w:fill="FFFFFF" w:val="clear"/>
        </w:rPr>
      </w:pPr>
      <w:r>
        <w:rPr>
          <w:rFonts w:ascii="TimesNewRoman,Bold" w:hAnsi="TimesNewRoman,Bold"/>
          <w:b/>
          <w:bCs/>
          <w:sz w:val="22"/>
          <w:szCs w:val="22"/>
          <w:shd w:fill="FFFFFF" w:val="clear"/>
        </w:rPr>
        <w:t xml:space="preserve">ТРАНЗИСТОРОВ 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Выполнил ст. гр. TI-257</w:t>
        <w:tab/>
        <w:tab/>
        <w:tab/>
        <w:tab/>
        <w:tab/>
        <w:tab/>
        <w:t>Fridman Vladislav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Проверил унив. Ассистент</w:t>
        <w:tab/>
        <w:tab/>
        <w:tab/>
        <w:tab/>
        <w:tab/>
        <w:tab/>
        <w:t>Veribitchi V.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Кишинев – 2025 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6158_1479738501" w:tooltip="Цель работы:">
            <w:r>
              <w:rPr>
                <w:rStyle w:val="IndexLink"/>
              </w:rPr>
              <w:t>Цель работы: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6160_1479738501" w:tooltip="Основные сведения">
            <w:r>
              <w:rPr>
                <w:rStyle w:val="IndexLink"/>
              </w:rPr>
              <w:t>Основные сведения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6162_1479738501" w:tooltip="Режимы работы биполярного транзистора">
            <w:r>
              <w:rPr>
                <w:rStyle w:val="IndexLink"/>
              </w:rPr>
              <w:t>Режимы работы биполярного транзистора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6164_1479738501" w:tooltip="Статические характеристики транзистора">
            <w:r>
              <w:rPr>
                <w:rStyle w:val="IndexLink"/>
              </w:rPr>
              <w:t>Статические характеристики транзистора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6166_1479738501" w:tooltip="Статические характеристики в схеме с ОБ">
            <w:r>
              <w:rPr>
                <w:rStyle w:val="IndexLink"/>
              </w:rPr>
              <w:t>Статические характеристики в схеме с ОБ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6168_1479738501" w:tooltip="Статические характеристики в схеме с ОЭ">
            <w:r>
              <w:rPr>
                <w:rStyle w:val="IndexLink"/>
              </w:rPr>
              <w:t>Статические характеристики в схеме с ОЭ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6170_1479738501" w:tooltip="Cобраные данные">
            <w:r>
              <w:rPr>
                <w:rStyle w:val="IndexLink"/>
              </w:rPr>
              <w:t>Cобраные данные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6172_1479738501" w:tooltip="Таблица 5.1. Входные характеристики биполярного транзистора в схеме включения с ОБ">
            <w:r>
              <w:rPr>
                <w:rStyle w:val="IndexLink"/>
              </w:rPr>
              <w:t>Таблица 5.1. Входные характеристики биполярного транзистора в схеме включения с ОБ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6174_1479738501" w:tooltip="Рассчет h11e​ для таблицы 5.1">
            <w:r>
              <w:rPr>
                <w:rStyle w:val="IndexLink"/>
              </w:rPr>
              <w:t>Рассчет h</w:t>
            </w:r>
            <w:r>
              <w:rPr>
                <w:rStyle w:val="IndexLink"/>
                <w:vertAlign w:val="subscript"/>
              </w:rPr>
              <w:t>11e​</w:t>
            </w:r>
            <w:r>
              <w:rPr>
                <w:rStyle w:val="IndexLink"/>
              </w:rPr>
              <w:t xml:space="preserve"> для таблицы 5.1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6176_1479738501" w:tooltip=" Для UКБ= 0В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 xml:space="preserve">Для </w:t>
            </w:r>
            <w:r>
              <w:rPr>
                <w:rStyle w:val="IndexLink"/>
                <w:i/>
              </w:rPr>
              <w:t>U</w:t>
            </w:r>
            <w:r>
              <w:rPr>
                <w:rStyle w:val="IndexLink"/>
                <w:vertAlign w:val="subscript"/>
              </w:rPr>
              <w:t>КБ</w:t>
            </w:r>
            <w:r>
              <w:rPr>
                <w:rStyle w:val="IndexLink"/>
                <w:i/>
              </w:rPr>
              <w:t>= 0</w:t>
            </w:r>
            <w:r>
              <w:rPr>
                <w:rStyle w:val="IndexLink"/>
              </w:rPr>
              <w:t>В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6178_1479738501" w:tooltip="Таблица 5.2. Выходные характеристики биполярного транзистора в схеме включения с ОБ">
            <w:r>
              <w:rPr>
                <w:rStyle w:val="IndexLink"/>
              </w:rPr>
              <w:t>Таблица 5.2. Выходные характеристики биполярного транзистора в схеме включения с ОБ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6180_1479738501" w:tooltip="Рассчет h22e​ для таблицы 5.2">
            <w:r>
              <w:rPr>
                <w:rStyle w:val="IndexLink"/>
              </w:rPr>
              <w:t>Рассчет h</w:t>
            </w:r>
            <w:r>
              <w:rPr>
                <w:rStyle w:val="IndexLink"/>
                <w:vertAlign w:val="subscript"/>
              </w:rPr>
              <w:t>22e​</w:t>
            </w:r>
            <w:r>
              <w:rPr>
                <w:rStyle w:val="IndexLink"/>
                <w:position w:val="0"/>
                <w:sz w:val="24"/>
                <w:vertAlign w:val="baseline"/>
              </w:rPr>
              <w:t xml:space="preserve"> для таблицы 5.2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6182_1479738501" w:tooltip=" Для Iэ = 5 mA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Для I</w:t>
            </w:r>
            <w:r>
              <w:rPr>
                <w:rStyle w:val="IndexLink"/>
                <w:vertAlign w:val="subscript"/>
              </w:rPr>
              <w:t xml:space="preserve">э </w:t>
            </w:r>
            <w:r>
              <w:rPr>
                <w:rStyle w:val="IndexLink"/>
                <w:i/>
              </w:rPr>
              <w:t>= 5 mA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6192_1479738501" w:tooltip=" Для Iэ = 10 mA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Для I</w:t>
            </w:r>
            <w:r>
              <w:rPr>
                <w:rStyle w:val="IndexLink"/>
                <w:vertAlign w:val="subscript"/>
              </w:rPr>
              <w:t xml:space="preserve">э </w:t>
            </w:r>
            <w:r>
              <w:rPr>
                <w:rStyle w:val="IndexLink"/>
              </w:rPr>
              <w:t>= 10 mA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6202_1479738501"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6204_1479738501" w:tooltip="Таблица 5.3. Входные характеристики биполярного транзистора в схеме включения с ОЭ">
            <w:r>
              <w:rPr>
                <w:rStyle w:val="IndexLink"/>
              </w:rPr>
              <w:t>Таблица 5.3. Входные характеристики биполярного транзистора в схеме включения с ОЭ</w:t>
              <w:tab/>
              <w:t>11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6206_1479738501" w:tooltip="Рассчет h11e​ для таблицы 5.3">
            <w:r>
              <w:rPr>
                <w:rStyle w:val="IndexLink"/>
              </w:rPr>
              <w:t>Рассчет h</w:t>
            </w:r>
            <w:r>
              <w:rPr>
                <w:rStyle w:val="IndexLink"/>
                <w:vertAlign w:val="subscript"/>
              </w:rPr>
              <w:t>1</w:t>
            </w:r>
            <w:r>
              <w:rPr>
                <w:rStyle w:val="IndexLink"/>
                <w:vertAlign w:val="subscript"/>
              </w:rPr>
              <w:t>1</w:t>
            </w:r>
            <w:r>
              <w:rPr>
                <w:rStyle w:val="IndexLink"/>
                <w:vertAlign w:val="subscript"/>
              </w:rPr>
              <w:t>e​</w:t>
            </w:r>
            <w:r>
              <w:rPr>
                <w:rStyle w:val="IndexLink"/>
              </w:rPr>
              <w:t xml:space="preserve"> для таблицы 5.3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6214_1479738501" w:tooltip="Таблица 5.4. Выходные характеристики биполярного транзистора в схеме включения с ОЭ">
            <w:r>
              <w:rPr>
                <w:rStyle w:val="IndexLink"/>
              </w:rPr>
              <w:t>Таблица 5.4. Выходные характеристики биполярного транзистора в схеме включения с ОЭ</w:t>
              <w:tab/>
              <w:t>12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6216_1479738501" w:tooltip="Рассчет h21e​ для таблицы 5.4">
            <w:r>
              <w:rPr>
                <w:rStyle w:val="IndexLink"/>
              </w:rPr>
              <w:t>Рассчет h</w:t>
            </w:r>
            <w:r>
              <w:rPr>
                <w:rStyle w:val="IndexLink"/>
                <w:vertAlign w:val="subscript"/>
              </w:rPr>
              <w:t>21e​</w:t>
            </w:r>
            <w:r>
              <w:rPr>
                <w:rStyle w:val="IndexLink"/>
                <w:position w:val="0"/>
                <w:sz w:val="24"/>
                <w:vertAlign w:val="baseline"/>
              </w:rPr>
              <w:t xml:space="preserve"> для таблицы 5.4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6218_1479738501" w:tooltip="Рассчет h22e​ для таблицы 5.4">
            <w:r>
              <w:rPr>
                <w:rStyle w:val="IndexLink"/>
              </w:rPr>
              <w:t>Рассчет h</w:t>
            </w:r>
            <w:r>
              <w:rPr>
                <w:rStyle w:val="IndexLink"/>
                <w:vertAlign w:val="subscript"/>
              </w:rPr>
              <w:t>22e​</w:t>
            </w:r>
            <w:r>
              <w:rPr>
                <w:rStyle w:val="IndexLink"/>
                <w:position w:val="0"/>
                <w:sz w:val="24"/>
                <w:vertAlign w:val="baseline"/>
              </w:rPr>
              <w:t xml:space="preserve"> для таблицы 5.4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6220_1479738501" w:tooltip="для Iᵦ = 5 мА">
            <w:r>
              <w:rPr>
                <w:rStyle w:val="IndexLink"/>
              </w:rPr>
              <w:t>для Iᵦ = 5 мА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6222_1479738501" w:tooltip="для Iᵦ = 10 мА">
            <w:r>
              <w:rPr>
                <w:rStyle w:val="IndexLink"/>
              </w:rPr>
              <w:t>для Iᵦ = 10 мА</w:t>
              <w:tab/>
              <w:t>13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6224_1479738501" w:tooltip="Выводы">
            <w:r>
              <w:rPr>
                <w:rStyle w:val="IndexLink"/>
              </w:rPr>
              <w:t>Выводы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6226_1479738501" w:tooltip=" Библиография :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Библиография :</w:t>
              <w:tab/>
              <w:t>14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1"/>
        <w:numPr>
          <w:ilvl w:val="0"/>
          <w:numId w:val="2"/>
        </w:numPr>
        <w:bidi w:val="0"/>
        <w:spacing w:before="0" w:after="0"/>
        <w:ind w:hanging="0" w:left="0"/>
        <w:jc w:val="left"/>
        <w:rPr>
          <w:vanish/>
          <w:sz w:val="28"/>
          <w:szCs w:val="28"/>
          <w:specVanish/>
        </w:rPr>
      </w:pPr>
      <w:bookmarkStart w:id="0" w:name="__RefHeading___Toc26158_1479738501"/>
      <w:bookmarkEnd w:id="0"/>
      <w:r>
        <w:rPr>
          <w:sz w:val="28"/>
          <w:szCs w:val="28"/>
        </w:rPr>
        <w:t>Цель работы: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/>
      <w:r>
        <w:rPr/>
      </w:r>
      <w:r>
        <w:rPr>
          <w:rFonts w:ascii="TimesNewRoman,Bold" w:hAnsi="TimesNewRoman,Bold"/>
          <w:b w:val="false"/>
          <w:bCs w:val="false"/>
          <w:sz w:val="24"/>
          <w:szCs w:val="24"/>
          <w:shd w:fill="FFFFFF" w:val="clear"/>
        </w:rPr>
        <w:t xml:space="preserve"> </w:t>
      </w:r>
      <w:r>
        <w:rPr>
          <w:rFonts w:ascii="TimesNewRoman" w:hAnsi="TimesNewRoman"/>
          <w:b w:val="false"/>
          <w:bCs w:val="false"/>
          <w:sz w:val="24"/>
          <w:szCs w:val="24"/>
          <w:shd w:fill="FFFFFF" w:val="clear"/>
        </w:rPr>
        <w:t xml:space="preserve">исследование статических характеристик биполярных транзисторов в схеме с общей базой (ОБ) и с общим эмиттером (ОЭ) и определение малосигнальных </w:t>
      </w:r>
      <w:r>
        <w:rPr>
          <w:rFonts w:ascii="Times" w:hAnsi="Times"/>
          <w:b w:val="false"/>
          <w:bCs w:val="false"/>
          <w:i/>
          <w:sz w:val="24"/>
          <w:szCs w:val="24"/>
          <w:shd w:fill="FFFFFF" w:val="clear"/>
        </w:rPr>
        <w:t>h</w:t>
      </w:r>
      <w:r>
        <w:rPr>
          <w:rFonts w:ascii="TimesNewRoman" w:hAnsi="TimesNewRoman"/>
          <w:b w:val="false"/>
          <w:bCs w:val="false"/>
          <w:sz w:val="24"/>
          <w:szCs w:val="24"/>
          <w:shd w:fill="FFFFFF" w:val="clear"/>
        </w:rPr>
        <w:t xml:space="preserve">- параметров. </w:t>
      </w:r>
    </w:p>
    <w:p>
      <w:pPr>
        <w:pStyle w:val="Heading1"/>
        <w:numPr>
          <w:ilvl w:val="0"/>
          <w:numId w:val="2"/>
        </w:numPr>
        <w:bidi w:val="0"/>
        <w:ind w:hanging="0" w:left="0"/>
        <w:jc w:val="center"/>
        <w:rPr>
          <w:sz w:val="28"/>
          <w:szCs w:val="28"/>
        </w:rPr>
      </w:pPr>
      <w:bookmarkStart w:id="1" w:name="__RefHeading___Toc26160_1479738501"/>
      <w:bookmarkEnd w:id="1"/>
      <w:r>
        <w:rPr>
          <w:sz w:val="28"/>
          <w:szCs w:val="28"/>
        </w:rPr>
        <w:t>Основные сведен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я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62230</wp:posOffset>
            </wp:positionV>
            <wp:extent cx="6120130" cy="48044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0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-Roman" w:hAnsi="Times-Roman"/>
          <w:b/>
          <w:bCs/>
          <w:color w:val="000000"/>
          <w:sz w:val="24"/>
        </w:rPr>
        <w:t>Биполярный транзистор</w:t>
      </w:r>
      <w:r>
        <w:rPr>
          <w:rFonts w:ascii="Times-Roman" w:hAnsi="Times-Roman"/>
          <w:color w:val="auto"/>
          <w:sz w:val="24"/>
        </w:rPr>
        <w:t xml:space="preserve"> представляет собой полупроводниковый электронный компонент с двумя p–n-переходами, состоящий из трех областей -  p–n–p либо n–p–n. Основной особенностью такого прибора является способность усиливать электрический сигнал. На рисунке 5.1 (а–в) приведены конструктивные варианты и условные графические обозначения биполярных транзисторов.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b/>
          <w:bCs/>
          <w:color w:val="auto"/>
          <w:sz w:val="24"/>
        </w:rPr>
        <w:t>Средняя часть структуры транзистора называется базой (Б)</w:t>
      </w:r>
      <w:r>
        <w:rPr>
          <w:rFonts w:ascii="Times-Roman" w:hAnsi="Times-Roman"/>
          <w:color w:val="auto"/>
          <w:sz w:val="24"/>
        </w:rPr>
        <w:t>. Она имеет малую толщину — порядка нескольких микрометров или даже меньше - и содержит минимальную концентрацию примесей по сравнению с соседними областями. Наиболее сильно легированной является область эмиттера (Э), тогда как противоположная внешняя область называется коллектором (К). К каждой зоне подведены омические контакты, с помощью которых прибор подключается к внешним цепям.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b/>
          <w:bCs/>
          <w:color w:val="000000"/>
          <w:sz w:val="24"/>
        </w:rPr>
        <w:t>Участок структуры между эмиттером и базой образует эмиттерный переход (ЭП)</w:t>
      </w:r>
      <w:r>
        <w:rPr>
          <w:rFonts w:ascii="Times-Roman" w:hAnsi="Times-Roman"/>
          <w:color w:val="auto"/>
          <w:sz w:val="24"/>
        </w:rPr>
        <w:t xml:space="preserve">, </w:t>
      </w:r>
      <w:r>
        <w:rPr>
          <w:rFonts w:ascii="Times-Roman" w:hAnsi="Times-Roman"/>
          <w:b/>
          <w:bCs/>
          <w:color w:val="auto"/>
          <w:sz w:val="24"/>
        </w:rPr>
        <w:t>а между коллектором и базой — коллекторный переход (КП)</w:t>
      </w:r>
      <w:r>
        <w:rPr>
          <w:rFonts w:ascii="Times-Roman" w:hAnsi="Times-Roman"/>
          <w:color w:val="auto"/>
          <w:sz w:val="24"/>
        </w:rPr>
        <w:t>. Чтобы описать физические процессы в биполярных транзисторах, рассмотрим p–n–p-структуру. Для n–p–n-транзистора действуют те же принципы, но роли электронов и дырок меняются местами, также переворачиваются направления токов и полярности приложенных напряжений. В активном режиме эмиттерный переход работает в прямом включении, а коллекторный переход — в обратном, что показано на рисунке 5.1 (г).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Зона объемного заряда в области коллекторного p–n-перехода расширяется главным образом в сторону базы, поскольку концентрация примесей в ней минимальна. Через эмиттерный переход, смещённый в прямом направлении, протекает диффузионный ток: дырки переходят из эмиттера в базу и образуют ток IрЭ, тогда как электроны перемещаются из базы к эмиттеру, формируя ток InЭ. Поскольку концентрация дырок в эмиттерной области значительно выше концентрации электронов в базе, суммарный ток эмиттера IЭ ≈ IрЭ и является в основном дырочным.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 xml:space="preserve">Перенос дырок из эмиттера в базу называется инжекцией: инжектированные в базу дырки становятся в ней неосновными носителями заряда. Большинство таких носителей вытягивается в сторону коллектора внутренним электрическим полем Eбар, возникающим в области объемного заряда обратносмещённого коллекторного перехода. Этот процесс переноса носителей называется экстракцией. В результате через коллектор протекает ток αIЭ - управляемая составляющая коллекторного тока.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4516120</wp:posOffset>
            </wp:positionH>
            <wp:positionV relativeFrom="paragraph">
              <wp:posOffset>821055</wp:posOffset>
            </wp:positionV>
            <wp:extent cx="1497330" cy="5797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57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-Roman" w:hAnsi="Times-Roman"/>
          <w:color w:val="auto"/>
          <w:sz w:val="24"/>
        </w:rPr>
        <w:t>Параметр α ≈ 0,95…0,995 (статический коэффициент передачи тока) показывает, какая доля эмиттерного тока достигает коллектора.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Полный перенос заряда через базу обеспечивается транзисторным эффектом, который реализуется при следующих условиях: • Толщина базы мала и существенно меньше диффузионной длины свободного пробега неосновных носителей. • Области эмиттера и коллектора намного толще базы. • Концентрация основных носителей в эмиттере значительно превышает их концентрацию в базе. • Основная часть электрического поля сосредоточена в областях объемного заряда.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Heading2"/>
        <w:numPr>
          <w:ilvl w:val="1"/>
          <w:numId w:val="2"/>
        </w:numPr>
        <w:bidi w:val="0"/>
        <w:ind w:hanging="0" w:left="0"/>
        <w:jc w:val="center"/>
        <w:rPr>
          <w:rFonts w:ascii="Arial" w:hAnsi="Arial"/>
          <w:sz w:val="28"/>
          <w:szCs w:val="28"/>
        </w:rPr>
      </w:pPr>
      <w:bookmarkStart w:id="2" w:name="__RefHeading___Toc26162_1479738501"/>
      <w:bookmarkEnd w:id="2"/>
      <w:r>
        <w:rPr>
          <w:rFonts w:ascii="Arial" w:hAnsi="Arial"/>
          <w:sz w:val="28"/>
          <w:szCs w:val="28"/>
        </w:rPr>
        <w:t xml:space="preserve">Режимы работы биполярного транзистора 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При отсутствии эмиттерного тока через коллекторный переход протекает небольшой обратный ток Iкб0, создаваемый неосновными носителями.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Коллекторный ток состоит из управляемой и неуправляемой составляющих: </w:t>
      </w:r>
    </w:p>
    <w:p>
      <w:pPr>
        <w:pStyle w:val="Normal"/>
        <w:bidi w:val="0"/>
        <w:ind w:firstLine="850" w:left="0" w:right="0"/>
        <w:jc w:val="center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b/>
          <w:bCs/>
          <w:color w:val="auto"/>
          <w:sz w:val="24"/>
        </w:rPr>
        <w:t xml:space="preserve">Iк = αIЭ + Iкб0.  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Для базового тока выполняется: </w:t>
      </w:r>
    </w:p>
    <w:p>
      <w:pPr>
        <w:pStyle w:val="Normal"/>
        <w:bidi w:val="0"/>
        <w:ind w:firstLine="850" w:left="0" w:right="0"/>
        <w:jc w:val="center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b/>
          <w:bCs/>
          <w:color w:val="000000"/>
          <w:sz w:val="24"/>
        </w:rPr>
        <w:t>Iб = (1 − α)IЭ − Iкб0.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Складывая выражения для коллекторного и базового токов, получаем: </w:t>
      </w:r>
    </w:p>
    <w:p>
      <w:pPr>
        <w:pStyle w:val="Normal"/>
        <w:bidi w:val="0"/>
        <w:ind w:firstLine="850" w:left="0" w:right="0"/>
        <w:jc w:val="center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b/>
          <w:bCs/>
          <w:color w:val="000000"/>
          <w:sz w:val="24"/>
        </w:rPr>
        <w:t xml:space="preserve">IЭ = Iк + Iб, 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 xml:space="preserve">  </w:t>
      </w:r>
      <w:r>
        <w:rPr>
          <w:rFonts w:ascii="Times-Roman" w:hAnsi="Times-Roman"/>
          <w:color w:val="auto"/>
          <w:sz w:val="24"/>
        </w:rPr>
        <w:t>что соответствует первому закону Кирхгофа для токов транзистора.Режимы работы транзистора в зависимости от приложенных напряжений возможно несколько режимов функционирования: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b/>
          <w:bCs/>
          <w:color w:val="auto"/>
          <w:sz w:val="24"/>
        </w:rPr>
        <w:t xml:space="preserve">• </w:t>
      </w:r>
      <w:r>
        <w:rPr>
          <w:rFonts w:ascii="Times-Roman" w:hAnsi="Times-Roman"/>
          <w:b/>
          <w:bCs/>
          <w:color w:val="auto"/>
          <w:sz w:val="24"/>
        </w:rPr>
        <w:t>Активный режим -</w:t>
      </w:r>
      <w:r>
        <w:rPr>
          <w:rFonts w:ascii="Times-Roman" w:hAnsi="Times-Roman"/>
          <w:color w:val="auto"/>
          <w:sz w:val="24"/>
        </w:rPr>
        <w:t xml:space="preserve"> эмиттерный переход смещён в прямом направлении, а коллекторный — в обратном. Используется в аналоговых схемах, таких как усилители, генераторы и стабилизаторы.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•</w:t>
      </w:r>
      <w:r>
        <w:rPr>
          <w:rFonts w:ascii="Times-Roman" w:hAnsi="Times-Roman"/>
          <w:b/>
          <w:bCs/>
          <w:color w:val="auto"/>
          <w:sz w:val="24"/>
        </w:rPr>
        <w:t xml:space="preserve"> </w:t>
      </w:r>
      <w:r>
        <w:rPr>
          <w:rFonts w:ascii="Times-Roman" w:hAnsi="Times-Roman"/>
          <w:b/>
          <w:bCs/>
          <w:color w:val="auto"/>
          <w:sz w:val="24"/>
        </w:rPr>
        <w:t>Режим насыщения</w:t>
      </w:r>
      <w:r>
        <w:rPr>
          <w:rFonts w:ascii="Times-Roman" w:hAnsi="Times-Roman"/>
          <w:color w:val="auto"/>
          <w:sz w:val="24"/>
        </w:rPr>
        <w:t xml:space="preserve"> - оба p–n-перехода смещены в прямом направлении, транзистор полностью открыт. Коллекторный ток достигает величины Iк.нас, и на переходах фиксируется остаточное напряжение порядка 0,1…1,0 В.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•</w:t>
      </w:r>
      <w:r>
        <w:rPr>
          <w:rFonts w:ascii="Times-Roman" w:hAnsi="Times-Roman"/>
          <w:b/>
          <w:bCs/>
          <w:color w:val="auto"/>
          <w:sz w:val="24"/>
        </w:rPr>
        <w:t xml:space="preserve"> </w:t>
      </w:r>
      <w:r>
        <w:rPr>
          <w:rFonts w:ascii="Times-Roman" w:hAnsi="Times-Roman"/>
          <w:b/>
          <w:bCs/>
          <w:color w:val="auto"/>
          <w:sz w:val="24"/>
        </w:rPr>
        <w:t>Режим отсечки</w:t>
      </w:r>
      <w:r>
        <w:rPr>
          <w:rFonts w:ascii="Times-Roman" w:hAnsi="Times-Roman"/>
          <w:color w:val="auto"/>
          <w:sz w:val="24"/>
        </w:rPr>
        <w:t xml:space="preserve"> - оба перехода заперты, токи Iэб0 и Iкб0 невелики, сопротивление транзистора очень велико.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b/>
          <w:bCs/>
          <w:color w:val="auto"/>
          <w:sz w:val="24"/>
        </w:rPr>
        <w:t xml:space="preserve">• </w:t>
      </w:r>
      <w:r>
        <w:rPr>
          <w:rFonts w:ascii="Times-Roman" w:hAnsi="Times-Roman"/>
          <w:b/>
          <w:bCs/>
          <w:color w:val="auto"/>
          <w:sz w:val="24"/>
        </w:rPr>
        <w:t>Инверсный режим</w:t>
      </w:r>
      <w:r>
        <w:rPr>
          <w:rFonts w:ascii="Times-Roman" w:hAnsi="Times-Roman"/>
          <w:color w:val="auto"/>
          <w:sz w:val="24"/>
        </w:rPr>
        <w:t xml:space="preserve"> - эмиттерный переход смещён в обратном направлении, а коллекторный - в прямом. В этом случае коэффициент передачи тока мал вследствие низкой эффективности такого включения и особенностей конструкции.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Режимы насыщения и отсечки широко применяются в цифровых устройствах, где сигнал принимает два дискретных значения. Инверсный активный режим также используется в цифровой электронике.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Heading2"/>
        <w:numPr>
          <w:ilvl w:val="1"/>
          <w:numId w:val="2"/>
        </w:numPr>
        <w:bidi w:val="0"/>
        <w:ind w:hanging="0" w:left="0"/>
        <w:jc w:val="center"/>
        <w:rPr>
          <w:rFonts w:ascii="Times-Roman" w:hAnsi="Times-Roman"/>
          <w:color w:val="auto"/>
        </w:rPr>
      </w:pPr>
      <w:bookmarkStart w:id="3" w:name="__RefHeading___Toc26164_1479738501"/>
      <w:bookmarkEnd w:id="3"/>
      <w:r>
        <w:rPr>
          <w:sz w:val="28"/>
          <w:szCs w:val="28"/>
        </w:rPr>
        <w:t>Статические характеристики транзистора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Для описания взаимосвязи напряжений и токов в транзисторе применяются уравнения Эберса-Молла, но для практического анализа используют экспериментальные статические характеристики. Обычно исследуют два семейства: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 xml:space="preserve">• </w:t>
      </w:r>
      <w:r>
        <w:rPr>
          <w:rFonts w:ascii="Times-Roman" w:hAnsi="Times-Roman"/>
          <w:color w:val="auto"/>
          <w:sz w:val="24"/>
        </w:rPr>
        <w:t xml:space="preserve">входные характеристики 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b/>
          <w:bCs/>
          <w:color w:val="auto"/>
          <w:sz w:val="24"/>
        </w:rPr>
        <w:t>I1 = f(U1)</w:t>
      </w:r>
      <w:r>
        <w:rPr>
          <w:rFonts w:ascii="Times-Roman" w:hAnsi="Times-Roman"/>
          <w:color w:val="auto"/>
          <w:sz w:val="24"/>
        </w:rPr>
        <w:t xml:space="preserve"> при постоянном U2, 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 xml:space="preserve">• </w:t>
      </w:r>
      <w:r>
        <w:rPr>
          <w:rFonts w:ascii="Times-Roman" w:hAnsi="Times-Roman"/>
          <w:color w:val="auto"/>
          <w:sz w:val="24"/>
        </w:rPr>
        <w:t xml:space="preserve">выходные характеристики </w:t>
      </w:r>
      <w:r>
        <w:rPr>
          <w:rFonts w:ascii="Times-Roman" w:hAnsi="Times-Roman"/>
          <w:b/>
          <w:bCs/>
          <w:color w:val="auto"/>
          <w:sz w:val="24"/>
        </w:rPr>
        <w:t>I2 = f(U2)</w:t>
      </w:r>
      <w:r>
        <w:rPr>
          <w:rFonts w:ascii="Times-Roman" w:hAnsi="Times-Roman"/>
          <w:color w:val="auto"/>
          <w:sz w:val="24"/>
        </w:rPr>
        <w:t xml:space="preserve"> при постоянном I1.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983615</wp:posOffset>
            </wp:positionH>
            <wp:positionV relativeFrom="paragraph">
              <wp:posOffset>75565</wp:posOffset>
            </wp:positionV>
            <wp:extent cx="4224020" cy="215074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020" cy="215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Транзистор можно рассматривать как активный четырёхполюсник, имеющий общий электрод. Поэтому различают схемы включения: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b/>
          <w:bCs/>
          <w:color w:val="auto"/>
          <w:sz w:val="24"/>
        </w:rPr>
        <w:t xml:space="preserve">• </w:t>
      </w:r>
      <w:r>
        <w:rPr>
          <w:rFonts w:ascii="Times-Roman" w:hAnsi="Times-Roman"/>
          <w:b/>
          <w:bCs/>
          <w:color w:val="auto"/>
          <w:sz w:val="24"/>
        </w:rPr>
        <w:t>с общей базой (ОБ),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b/>
          <w:bCs/>
          <w:color w:val="auto"/>
          <w:sz w:val="24"/>
        </w:rPr>
        <w:t xml:space="preserve"> • </w:t>
      </w:r>
      <w:r>
        <w:rPr>
          <w:rFonts w:ascii="Times-Roman" w:hAnsi="Times-Roman"/>
          <w:b/>
          <w:bCs/>
          <w:color w:val="auto"/>
          <w:sz w:val="24"/>
        </w:rPr>
        <w:t>с общим эмиттером (ОЭ), 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b/>
          <w:bCs/>
          <w:color w:val="auto"/>
          <w:sz w:val="24"/>
        </w:rPr>
        <w:t xml:space="preserve">• </w:t>
      </w:r>
      <w:r>
        <w:rPr>
          <w:rFonts w:ascii="Times-Roman" w:hAnsi="Times-Roman"/>
          <w:b/>
          <w:bCs/>
          <w:color w:val="auto"/>
          <w:sz w:val="24"/>
        </w:rPr>
        <w:t>с общим коллектором (ОК).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Heading2"/>
        <w:numPr>
          <w:ilvl w:val="1"/>
          <w:numId w:val="2"/>
        </w:numPr>
        <w:bidi w:val="0"/>
        <w:ind w:hanging="0" w:left="0"/>
        <w:jc w:val="center"/>
        <w:rPr>
          <w:sz w:val="28"/>
          <w:szCs w:val="28"/>
        </w:rPr>
      </w:pPr>
      <w:bookmarkStart w:id="4" w:name="__RefHeading___Toc26166_1479738501"/>
      <w:bookmarkEnd w:id="4"/>
      <w:r>
        <w:rPr>
          <w:sz w:val="28"/>
          <w:szCs w:val="28"/>
        </w:rPr>
        <w:t>Статические характеристики в схеме с ОБ</w:t>
      </w:r>
    </w:p>
    <w:p>
      <w:pPr>
        <w:pStyle w:val="BodyText"/>
        <w:bidi w:val="0"/>
        <w:jc w:val="center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-35560</wp:posOffset>
            </wp:positionH>
            <wp:positionV relativeFrom="paragraph">
              <wp:posOffset>-8255</wp:posOffset>
            </wp:positionV>
            <wp:extent cx="6120130" cy="242189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2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1077595</wp:posOffset>
            </wp:positionH>
            <wp:positionV relativeFrom="paragraph">
              <wp:posOffset>-274955</wp:posOffset>
            </wp:positionV>
            <wp:extent cx="3822700" cy="10287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Экспериментальная схема для p–n–p-транзистора приведена на рисунке 5.3. Входная характеристика имеет экспоненциальный вид: Iэ = Iнас exp(Uэб / φТ),   где φТ - тепловой потенциал (≈ 26 мВ при T = 300 K).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1654810</wp:posOffset>
            </wp:positionH>
            <wp:positionV relativeFrom="paragraph">
              <wp:posOffset>106680</wp:posOffset>
            </wp:positionV>
            <wp:extent cx="2799080" cy="249110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2491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1343025</wp:posOffset>
            </wp:positionH>
            <wp:positionV relativeFrom="paragraph">
              <wp:posOffset>10795</wp:posOffset>
            </wp:positionV>
            <wp:extent cx="3160395" cy="116459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95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Семейство входных характеристик позволяет определить параметры h11б (входное сопротивление) и h12б (коэффициент обратной связи по напряжению). Соответствующие формулы остаются неизменными, но величины измеряются при фиксированном Uкб или Iэ.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05885" cy="247650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Выходные характеристики (рисунок 5.5) показывают зависимость коллекторного тока от напряжения Uкб при различных значениях Iэ. Характеристика Iэ = 0 задаёт ток Iкб0. В активной области ток Iк ≈ Iэ. В области отсечки ток минимален, а в режиме насыщения оба перехода смещены в прямом направлении.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25800" cy="151130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51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Из выходных характеристик вычисляют коэффициент передачи тока h21б (приблизительно равный α) и выходную проводимость h22б.</w:t>
      </w:r>
    </w:p>
    <w:p>
      <w:pPr>
        <w:pStyle w:val="Heading2"/>
        <w:numPr>
          <w:ilvl w:val="1"/>
          <w:numId w:val="2"/>
        </w:numPr>
        <w:bidi w:val="0"/>
        <w:ind w:hanging="0" w:left="0"/>
        <w:jc w:val="center"/>
        <w:rPr>
          <w:sz w:val="28"/>
          <w:szCs w:val="28"/>
        </w:rPr>
      </w:pPr>
      <w:bookmarkStart w:id="5" w:name="__RefHeading___Toc26168_1479738501"/>
      <w:bookmarkEnd w:id="5"/>
      <w:r>
        <w:rPr>
          <w:sz w:val="28"/>
          <w:szCs w:val="28"/>
        </w:rPr>
        <w:t>Статические характеристики в схеме с ОЭ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7459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-Roman" w:hAnsi="Times-Roman"/>
          <w:color w:val="auto"/>
          <w:sz w:val="24"/>
        </w:rPr>
        <w:t>Экспериментальная схема приведена на рисунке 5.6. Входная характеристика Iб = f(Uбэ) имеет экспоненциальную форму, аналогичную характеристике p–n-перехода. При Uкэ &lt; 0 ток базы равен −Iкб0, затем растёт при увеличении Uбэ (рисунок 5.7). По характеристикам рассчитывают параметры h11э (входное сопротивление) и h12э (коэффициент обратной связи).</w:t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-4445</wp:posOffset>
            </wp:positionH>
            <wp:positionV relativeFrom="paragraph">
              <wp:posOffset>635</wp:posOffset>
            </wp:positionV>
            <wp:extent cx="1851025" cy="88328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88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2418715</wp:posOffset>
            </wp:positionH>
            <wp:positionV relativeFrom="paragraph">
              <wp:posOffset>97790</wp:posOffset>
            </wp:positionV>
            <wp:extent cx="2009775" cy="188277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88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4260215</wp:posOffset>
            </wp:positionH>
            <wp:positionV relativeFrom="paragraph">
              <wp:posOffset>147320</wp:posOffset>
            </wp:positionV>
            <wp:extent cx="2343785" cy="1833245"/>
            <wp:effectExtent l="0" t="0" r="0" b="0"/>
            <wp:wrapSquare wrapText="largest"/>
            <wp:docPr id="15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183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-59055</wp:posOffset>
            </wp:positionH>
            <wp:positionV relativeFrom="paragraph">
              <wp:posOffset>170180</wp:posOffset>
            </wp:positionV>
            <wp:extent cx="1902460" cy="893445"/>
            <wp:effectExtent l="0" t="0" r="0" b="0"/>
            <wp:wrapSquare wrapText="largest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89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spacing w:lineRule="auto" w:line="276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spacing w:lineRule="auto" w:line="276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spacing w:lineRule="auto" w:line="276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spacing w:lineRule="auto" w:line="276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</w:r>
    </w:p>
    <w:p>
      <w:pPr>
        <w:pStyle w:val="Normal"/>
        <w:bidi w:val="0"/>
        <w:spacing w:lineRule="auto" w:line="276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Выходные характеристики (рисунок 5.8) имеют различимые области: активную, отсечки и насыщения. В активной области линии почти прямолинейны, но смещены на 0,005…0,05 В относительно начала координат. В насыщении |Uкэ| ≤ |Uбэ|, оба перехода смещены в прямом направлении. В области отсечки Iк минимален.</w:t>
      </w:r>
    </w:p>
    <w:p>
      <w:pPr>
        <w:pStyle w:val="Normal"/>
        <w:bidi w:val="0"/>
        <w:spacing w:lineRule="auto" w:line="276"/>
        <w:ind w:firstLine="850" w:left="0" w:right="0"/>
        <w:jc w:val="left"/>
        <w:rPr>
          <w:rFonts w:ascii="Times-Roman" w:hAnsi="Times-Roman"/>
          <w:color w:val="auto"/>
          <w:sz w:val="24"/>
        </w:rPr>
      </w:pPr>
      <w:r>
        <w:rPr>
          <w:rFonts w:ascii="Times-Roman" w:hAnsi="Times-Roman"/>
          <w:color w:val="auto"/>
          <w:sz w:val="24"/>
        </w:rPr>
        <w:t>Из этих характеристик определяются параметры h21э (коэффициент усиления по току, β) и h22э (выходная проводимость).</w:t>
      </w:r>
    </w:p>
    <w:p>
      <w:pPr>
        <w:pStyle w:val="Heading1"/>
        <w:numPr>
          <w:ilvl w:val="0"/>
          <w:numId w:val="2"/>
        </w:numPr>
        <w:bidi w:val="0"/>
        <w:ind w:hanging="0" w:left="0"/>
        <w:jc w:val="center"/>
        <w:rPr>
          <w:sz w:val="28"/>
          <w:szCs w:val="28"/>
        </w:rPr>
      </w:pPr>
      <w:bookmarkStart w:id="6" w:name="__RefHeading___Toc26170_1479738501"/>
      <w:bookmarkEnd w:id="6"/>
      <w:r>
        <w:rPr>
          <w:sz w:val="28"/>
          <w:szCs w:val="28"/>
        </w:rPr>
        <w:t xml:space="preserve">Cобраные данные </w:t>
      </w:r>
    </w:p>
    <w:p>
      <w:pPr>
        <w:pStyle w:val="Heading2"/>
        <w:numPr>
          <w:ilvl w:val="1"/>
          <w:numId w:val="2"/>
        </w:numPr>
        <w:bidi w:val="0"/>
        <w:ind w:hanging="0" w:left="0"/>
        <w:jc w:val="center"/>
        <w:rPr>
          <w:sz w:val="24"/>
          <w:szCs w:val="24"/>
        </w:rPr>
      </w:pPr>
      <w:bookmarkStart w:id="7" w:name="__RefHeading___Toc26172_1479738501"/>
      <w:bookmarkEnd w:id="7"/>
      <w:r>
        <w:rPr>
          <w:sz w:val="24"/>
          <w:szCs w:val="24"/>
        </w:rPr>
        <w:t xml:space="preserve">Таблица 5.1. Входные характеристики биполярного транзистора в схеме включения с ОБ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45"/>
        <w:gridCol w:w="856"/>
        <w:gridCol w:w="5"/>
        <w:gridCol w:w="798"/>
        <w:gridCol w:w="5"/>
        <w:gridCol w:w="803"/>
        <w:gridCol w:w="0"/>
        <w:gridCol w:w="803"/>
        <w:gridCol w:w="0"/>
        <w:gridCol w:w="802"/>
        <w:gridCol w:w="1"/>
        <w:gridCol w:w="799"/>
        <w:gridCol w:w="803"/>
        <w:gridCol w:w="5"/>
        <w:gridCol w:w="798"/>
        <w:gridCol w:w="5"/>
        <w:gridCol w:w="803"/>
        <w:gridCol w:w="803"/>
        <w:gridCol w:w="0"/>
        <w:gridCol w:w="804"/>
      </w:tblGrid>
      <w:tr>
        <w:trPr>
          <w:trHeight w:val="569" w:hRule="atLeast"/>
        </w:trPr>
        <w:tc>
          <w:tcPr>
            <w:tcW w:w="1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shd w:fill="FFFFFF" w:val="clear"/>
              </w:rPr>
              <w:t>U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fill="FFFFFF" w:val="clear"/>
                <w:vertAlign w:val="subscript"/>
              </w:rPr>
              <w:t>ЭБ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fill="FFFFFF" w:val="clear"/>
              </w:rPr>
              <w:t>, мВ</w:t>
            </w:r>
          </w:p>
        </w:tc>
        <w:tc>
          <w:tcPr>
            <w:tcW w:w="8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8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140</w:t>
            </w:r>
          </w:p>
        </w:tc>
        <w:tc>
          <w:tcPr>
            <w:tcW w:w="8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160</w:t>
            </w:r>
          </w:p>
        </w:tc>
        <w:tc>
          <w:tcPr>
            <w:tcW w:w="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250</w:t>
            </w:r>
          </w:p>
        </w:tc>
        <w:tc>
          <w:tcPr>
            <w:tcW w:w="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300</w:t>
            </w:r>
          </w:p>
        </w:tc>
      </w:tr>
      <w:tr>
        <w:trPr>
          <w:trHeight w:val="784" w:hRule="atLeast"/>
        </w:trPr>
        <w:tc>
          <w:tcPr>
            <w:tcW w:w="74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bidi w:val="0"/>
              <w:spacing w:before="0" w:after="14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shd w:fill="FFFFFF" w:val="clear"/>
              </w:rPr>
              <w:t>I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fill="FFFFFF" w:val="clear"/>
                <w:vertAlign w:val="subscript"/>
              </w:rPr>
              <w:t>Э</w:t>
            </w: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shd w:fill="FFFFFF" w:val="clear"/>
              </w:rPr>
              <w:t>,мA</w:t>
            </w:r>
          </w:p>
        </w:tc>
        <w:tc>
          <w:tcPr>
            <w:tcW w:w="861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bidi w:val="0"/>
              <w:spacing w:before="0" w:after="14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shd w:fill="FFFFFF" w:val="clear"/>
              </w:rPr>
              <w:t>U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fill="FFFFFF" w:val="clear"/>
                <w:vertAlign w:val="subscript"/>
              </w:rPr>
              <w:t>КБ</w:t>
            </w: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shd w:fill="FFFFFF" w:val="clear"/>
              </w:rPr>
              <w:t>=  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fill="FFFFFF" w:val="clear"/>
              </w:rPr>
              <w:t>В</w:t>
            </w:r>
          </w:p>
        </w:tc>
        <w:tc>
          <w:tcPr>
            <w:tcW w:w="8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8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0,02</w:t>
            </w:r>
          </w:p>
        </w:tc>
        <w:tc>
          <w:tcPr>
            <w:tcW w:w="8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0,07</w:t>
            </w:r>
          </w:p>
        </w:tc>
        <w:tc>
          <w:tcPr>
            <w:tcW w:w="8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0,16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0,28</w:t>
            </w:r>
          </w:p>
        </w:tc>
        <w:tc>
          <w:tcPr>
            <w:tcW w:w="80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0,67</w:t>
            </w:r>
          </w:p>
        </w:tc>
        <w:tc>
          <w:tcPr>
            <w:tcW w:w="8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1,47</w:t>
            </w:r>
          </w:p>
        </w:tc>
        <w:tc>
          <w:tcPr>
            <w:tcW w:w="8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4,30</w:t>
            </w:r>
          </w:p>
        </w:tc>
        <w:tc>
          <w:tcPr>
            <w:tcW w:w="8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11,24</w:t>
            </w:r>
          </w:p>
        </w:tc>
        <w:tc>
          <w:tcPr>
            <w:tcW w:w="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19,46</w:t>
            </w:r>
          </w:p>
        </w:tc>
      </w:tr>
      <w:tr>
        <w:trPr>
          <w:trHeight w:val="687" w:hRule="atLeast"/>
        </w:trPr>
        <w:tc>
          <w:tcPr>
            <w:tcW w:w="74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861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bidi w:val="0"/>
              <w:spacing w:before="0" w:after="14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shd w:fill="FFFFFF" w:val="clear"/>
              </w:rPr>
              <w:t>U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fill="FFFFFF" w:val="clear"/>
                <w:vertAlign w:val="subscript"/>
              </w:rPr>
              <w:t>КБ</w:t>
            </w: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shd w:fill="FFFFFF" w:val="clear"/>
              </w:rPr>
              <w:t xml:space="preserve">= -5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fill="FFFFFF" w:val="clear"/>
              </w:rPr>
              <w:t>В</w:t>
            </w:r>
          </w:p>
        </w:tc>
        <w:tc>
          <w:tcPr>
            <w:tcW w:w="8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8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0,02</w:t>
            </w:r>
          </w:p>
        </w:tc>
        <w:tc>
          <w:tcPr>
            <w:tcW w:w="8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0,07</w:t>
            </w:r>
          </w:p>
        </w:tc>
        <w:tc>
          <w:tcPr>
            <w:tcW w:w="8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0,15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0,29</w:t>
            </w:r>
          </w:p>
        </w:tc>
        <w:tc>
          <w:tcPr>
            <w:tcW w:w="80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0,71</w:t>
            </w:r>
          </w:p>
        </w:tc>
        <w:tc>
          <w:tcPr>
            <w:tcW w:w="8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0,94</w:t>
            </w:r>
          </w:p>
        </w:tc>
        <w:tc>
          <w:tcPr>
            <w:tcW w:w="8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1,60</w:t>
            </w:r>
          </w:p>
        </w:tc>
        <w:tc>
          <w:tcPr>
            <w:tcW w:w="80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2,71</w:t>
            </w:r>
          </w:p>
        </w:tc>
        <w:tc>
          <w:tcPr>
            <w:tcW w:w="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4,39</w:t>
            </w:r>
          </w:p>
        </w:tc>
      </w:tr>
    </w:tbl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3650" cy="270065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70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3"/>
        <w:numPr>
          <w:ilvl w:val="2"/>
          <w:numId w:val="1"/>
        </w:numPr>
        <w:ind w:hanging="0" w:left="0"/>
        <w:jc w:val="center"/>
        <w:rPr/>
      </w:pPr>
      <w:bookmarkStart w:id="8" w:name="__RefHeading___Toc26174_1479738501"/>
      <w:bookmarkEnd w:id="8"/>
      <w:r>
        <w:rPr/>
        <w:t>Рассчет h</w:t>
      </w:r>
      <w:r>
        <w:rPr>
          <w:vertAlign w:val="subscript"/>
        </w:rPr>
        <w:t xml:space="preserve">11e​ </w:t>
      </w:r>
      <w:r>
        <w:rPr/>
        <w:t xml:space="preserve"> для таблицы 5.1</w:t>
      </w:r>
    </w:p>
    <w:p>
      <w:pPr>
        <w:pStyle w:val="Normal"/>
        <w:bidi w:val="0"/>
        <w:spacing w:lineRule="auto" w:line="360"/>
        <w:jc w:val="center"/>
        <w:rPr>
          <w:b w:val="false"/>
          <w:bCs w:val="false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vertAlign w:val="baseline"/>
        </w:rPr>
        <w:t>h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11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​ = Δu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эб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​​ / Δi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э​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vertAlign w:val="baseline"/>
        </w:rPr>
        <w:t xml:space="preserve"> | U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КЭ​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vertAlign w:val="baseline"/>
        </w:rPr>
        <w:t>=const​</w:t>
      </w:r>
    </w:p>
    <w:p>
      <w:pPr>
        <w:pStyle w:val="Heading3"/>
        <w:numPr>
          <w:ilvl w:val="0"/>
          <w:numId w:val="0"/>
        </w:numPr>
        <w:ind w:hanging="0" w:left="0"/>
        <w:jc w:val="center"/>
        <w:rPr>
          <w:rFonts w:ascii="Times New Roman" w:hAnsi="Times New Roman"/>
          <w:b/>
          <w:bCs/>
        </w:rPr>
      </w:pPr>
      <w:bookmarkStart w:id="9" w:name="__RefHeading___Toc26176_1479738501"/>
      <w:bookmarkEnd w:id="9"/>
      <w:r>
        <w:rPr>
          <w:rFonts w:ascii="Times New Roman" w:hAnsi="Times New Roman"/>
          <w:b/>
          <w:bCs/>
        </w:rPr>
        <w:tab/>
        <w:t xml:space="preserve">Для </w:t>
      </w:r>
      <w:r>
        <w:rPr>
          <w:rFonts w:ascii="Times New Roman" w:hAnsi="Times New Roman"/>
          <w:b/>
          <w:bCs/>
          <w:i/>
          <w:sz w:val="24"/>
          <w:szCs w:val="24"/>
          <w:shd w:fill="FFFFFF" w:val="clear"/>
        </w:rPr>
        <w:t>U</w:t>
      </w:r>
      <w:r>
        <w:rPr>
          <w:rFonts w:ascii="Times New Roman" w:hAnsi="Times New Roman"/>
          <w:b/>
          <w:bCs/>
          <w:sz w:val="24"/>
          <w:szCs w:val="24"/>
          <w:shd w:fill="FFFFFF" w:val="clear"/>
          <w:vertAlign w:val="subscript"/>
        </w:rPr>
        <w:t>КБ</w:t>
      </w:r>
      <w:r>
        <w:rPr>
          <w:rFonts w:ascii="Times New Roman" w:hAnsi="Times New Roman"/>
          <w:b/>
          <w:bCs/>
          <w:i/>
          <w:sz w:val="24"/>
          <w:szCs w:val="24"/>
          <w:shd w:fill="FFFFFF" w:val="clear"/>
        </w:rPr>
        <w:t>=  0</w:t>
      </w:r>
      <w:r>
        <w:rPr>
          <w:rFonts w:ascii="Times New Roman" w:hAnsi="Times New Roman"/>
          <w:b/>
          <w:bCs/>
          <w:sz w:val="24"/>
          <w:szCs w:val="24"/>
          <w:shd w:fill="FFFFFF" w:val="clear"/>
        </w:rPr>
        <w:t xml:space="preserve">В </w:t>
        <w:tab/>
        <w:tab/>
        <w:tab/>
        <w:tab/>
        <w:tab/>
        <w:tab/>
        <w:tab/>
      </w:r>
    </w:p>
    <w:p>
      <w:pPr>
        <w:pStyle w:val="Heading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На промежутке 30-60 mВ</w:t>
      </w:r>
    </w:p>
    <w:p>
      <w:pPr>
        <w:pStyle w:val="BodyText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ΔU=60−30=30 мВ</w:t>
        <w:tab/>
        <w:tab/>
        <w:tab/>
        <w:tab/>
        <w:tab/>
        <w:tab/>
        <w:tab/>
      </w:r>
    </w:p>
    <w:p>
      <w:pPr>
        <w:pStyle w:val="BodyText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ΔI=0.02−0=0.02 мА</w:t>
        <w:tab/>
        <w:tab/>
        <w:tab/>
        <w:tab/>
        <w:tab/>
        <w:tab/>
        <w:tab/>
      </w:r>
    </w:p>
    <w:p>
      <w:pPr>
        <w:pStyle w:val="BodyText"/>
        <w:jc w:val="center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ab/>
        <w:t>h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>11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=30/0.02=1500 Ω</w:t>
        <w:tab/>
        <w:tab/>
        <w:tab/>
        <w:tab/>
        <w:tab/>
        <w:tab/>
        <w:tab/>
      </w:r>
    </w:p>
    <w:p>
      <w:pPr>
        <w:pStyle w:val="Heading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На промежутке 60-80 mВ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ΔU=80−60=20 мВ</w:t>
        <w:tab/>
        <w:tab/>
        <w:tab/>
        <w:tab/>
        <w:tab/>
        <w:tab/>
        <w:tab/>
      </w:r>
    </w:p>
    <w:p>
      <w:pPr>
        <w:pStyle w:val="BodyText"/>
        <w:spacing w:lineRule="auto" w:line="24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ΔI=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0.07−0.02=0.05 мА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ab/>
        <w:tab/>
        <w:tab/>
        <w:tab/>
        <w:tab/>
      </w:r>
    </w:p>
    <w:p>
      <w:pPr>
        <w:pStyle w:val="BodyText"/>
        <w:spacing w:lineRule="auto" w:line="240" w:before="0" w:after="0"/>
        <w:jc w:val="center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ab/>
        <w:t>h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>11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=20/0.5=400 Ω</w:t>
        <w:tab/>
        <w:tab/>
        <w:tab/>
        <w:tab/>
        <w:tab/>
        <w:tab/>
        <w:tab/>
      </w:r>
    </w:p>
    <w:p>
      <w:pPr>
        <w:pStyle w:val="BodyText"/>
        <w:spacing w:lineRule="auto" w:line="240" w:before="0" w:after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</w:r>
    </w:p>
    <w:p>
      <w:pPr>
        <w:pStyle w:val="BodyText"/>
        <w:spacing w:lineRule="auto" w:line="240" w:before="0" w:after="0"/>
        <w:jc w:val="lef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</w:r>
    </w:p>
    <w:p>
      <w:pPr>
        <w:pStyle w:val="BodyText"/>
        <w:spacing w:lineRule="auto" w:line="240" w:before="0" w:after="0"/>
        <w:jc w:val="lef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</w:r>
    </w:p>
    <w:p>
      <w:pPr>
        <w:pStyle w:val="BodyText"/>
        <w:spacing w:lineRule="auto" w:line="240" w:before="0" w:after="0"/>
        <w:jc w:val="lef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ab/>
        <w:t xml:space="preserve">Для </w:t>
      </w:r>
      <w:r>
        <w:rPr>
          <w:b/>
          <w:bCs/>
          <w:i/>
          <w:sz w:val="24"/>
          <w:szCs w:val="24"/>
          <w:shd w:fill="FFFFFF" w:val="clear"/>
        </w:rPr>
        <w:t>U</w:t>
      </w:r>
      <w:r>
        <w:rPr>
          <w:b/>
          <w:bCs/>
          <w:sz w:val="24"/>
          <w:szCs w:val="24"/>
          <w:shd w:fill="FFFFFF" w:val="clear"/>
          <w:vertAlign w:val="subscript"/>
        </w:rPr>
        <w:t>КБ</w:t>
      </w:r>
      <w:r>
        <w:rPr>
          <w:b/>
          <w:bCs/>
          <w:i/>
          <w:sz w:val="24"/>
          <w:szCs w:val="24"/>
          <w:shd w:fill="FFFFFF" w:val="clear"/>
        </w:rPr>
        <w:t>=  0</w:t>
      </w:r>
      <w:r>
        <w:rPr>
          <w:b/>
          <w:bCs/>
          <w:sz w:val="24"/>
          <w:szCs w:val="24"/>
          <w:shd w:fill="FFFFFF" w:val="clear"/>
        </w:rPr>
        <w:t xml:space="preserve">В </w:t>
        <w:tab/>
        <w:tab/>
        <w:tab/>
        <w:tab/>
        <w:tab/>
        <w:tab/>
        <w:tab/>
      </w:r>
    </w:p>
    <w:p>
      <w:pPr>
        <w:pStyle w:val="Heading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На промежутке 80-100 mВ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ΔU=100−80=20 мВ</w:t>
        <w:tab/>
        <w:tab/>
        <w:tab/>
        <w:tab/>
        <w:tab/>
        <w:tab/>
        <w:tab/>
      </w:r>
    </w:p>
    <w:p>
      <w:pPr>
        <w:pStyle w:val="BodyText"/>
        <w:spacing w:lineRule="auto" w:line="24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ΔI=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0.16−0.07=0.09 мА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ab/>
        <w:tab/>
        <w:tab/>
        <w:tab/>
        <w:tab/>
      </w:r>
    </w:p>
    <w:p>
      <w:pPr>
        <w:pStyle w:val="BodyText"/>
        <w:spacing w:lineRule="auto" w:line="240" w:before="0" w:after="0"/>
        <w:jc w:val="center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ab/>
        <w:t>h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>11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=20/0.09=222 Ω</w:t>
        <w:tab/>
        <w:tab/>
        <w:tab/>
        <w:tab/>
        <w:tab/>
        <w:tab/>
        <w:tab/>
      </w:r>
    </w:p>
    <w:p>
      <w:pPr>
        <w:pStyle w:val="Heading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На промежутке 100-120 mВ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ΔU=120−100=20 мВ</w:t>
        <w:tab/>
        <w:tab/>
        <w:tab/>
        <w:tab/>
        <w:tab/>
        <w:tab/>
        <w:tab/>
      </w:r>
    </w:p>
    <w:p>
      <w:pPr>
        <w:pStyle w:val="BodyText"/>
        <w:spacing w:lineRule="auto" w:line="24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ΔI=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0.28−0.16=0.12 мА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ab/>
        <w:tab/>
        <w:tab/>
        <w:tab/>
        <w:tab/>
      </w:r>
    </w:p>
    <w:p>
      <w:pPr>
        <w:pStyle w:val="BodyText"/>
        <w:spacing w:lineRule="auto" w:line="240" w:before="0" w:after="0"/>
        <w:jc w:val="center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ab/>
        <w:t>h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>11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=20/0.12=166.7 Ω</w:t>
        <w:tab/>
        <w:tab/>
        <w:tab/>
        <w:tab/>
        <w:tab/>
        <w:tab/>
        <w:tab/>
      </w:r>
    </w:p>
    <w:p>
      <w:pPr>
        <w:pStyle w:val="Heading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На промежутке 120-140 mВ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ΔU=140−120=20 мВ</w:t>
        <w:tab/>
        <w:tab/>
        <w:tab/>
        <w:tab/>
        <w:tab/>
        <w:tab/>
        <w:tab/>
      </w:r>
    </w:p>
    <w:p>
      <w:pPr>
        <w:pStyle w:val="BodyText"/>
        <w:spacing w:lineRule="auto" w:line="24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ΔI=0.67−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0.28=0.39 мА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ab/>
        <w:tab/>
        <w:tab/>
        <w:tab/>
        <w:tab/>
      </w:r>
    </w:p>
    <w:p>
      <w:pPr>
        <w:pStyle w:val="BodyText"/>
        <w:spacing w:lineRule="auto" w:line="240" w:before="0" w:after="0"/>
        <w:jc w:val="center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ab/>
        <w:t>h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>11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=20/0.39=51.28 Ω</w:t>
        <w:tab/>
        <w:tab/>
        <w:tab/>
        <w:tab/>
        <w:tab/>
        <w:tab/>
        <w:tab/>
      </w:r>
    </w:p>
    <w:p>
      <w:pPr>
        <w:pStyle w:val="Heading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На промежутке 140-160 mВ</w:t>
      </w:r>
    </w:p>
    <w:p>
      <w:pPr>
        <w:pStyle w:val="Normal"/>
        <w:spacing w:lineRule="auto" w:line="36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ΔU=160−140=20 мВ</w:t>
        <w:tab/>
        <w:tab/>
        <w:tab/>
        <w:tab/>
        <w:tab/>
        <w:tab/>
        <w:tab/>
      </w:r>
    </w:p>
    <w:p>
      <w:pPr>
        <w:pStyle w:val="BodyText"/>
        <w:spacing w:lineRule="auto" w:line="24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ΔI=1.47−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0.67=0.80мА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ab/>
        <w:tab/>
        <w:tab/>
        <w:tab/>
        <w:tab/>
      </w:r>
    </w:p>
    <w:p>
      <w:pPr>
        <w:pStyle w:val="BodyText"/>
        <w:spacing w:lineRule="auto" w:line="240" w:before="0" w:after="0"/>
        <w:jc w:val="center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ab/>
        <w:t>h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>11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=20/0.80=25 Ω</w:t>
        <w:tab/>
        <w:tab/>
        <w:tab/>
        <w:tab/>
        <w:tab/>
        <w:tab/>
        <w:tab/>
      </w:r>
    </w:p>
    <w:p>
      <w:pPr>
        <w:pStyle w:val="Heading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На промежутке 160-200 mВ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ΔU=200−160=40 мВ</w:t>
        <w:tab/>
        <w:tab/>
        <w:tab/>
        <w:tab/>
        <w:tab/>
        <w:tab/>
        <w:tab/>
      </w:r>
    </w:p>
    <w:p>
      <w:pPr>
        <w:pStyle w:val="BodyText"/>
        <w:spacing w:lineRule="auto" w:line="24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ΔI=4.30−1.47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=2,83 мА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ab/>
        <w:tab/>
        <w:tab/>
        <w:tab/>
        <w:tab/>
      </w:r>
    </w:p>
    <w:p>
      <w:pPr>
        <w:pStyle w:val="BodyText"/>
        <w:spacing w:lineRule="auto" w:line="240" w:before="0" w:after="0"/>
        <w:jc w:val="center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ab/>
        <w:t>h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>11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=40/2,83=14,13 Ω</w:t>
        <w:tab/>
        <w:tab/>
        <w:tab/>
        <w:tab/>
        <w:tab/>
        <w:tab/>
        <w:tab/>
      </w:r>
    </w:p>
    <w:p>
      <w:pPr>
        <w:pStyle w:val="Heading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На промежутке 200-250 mВ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ΔU=250−200=50 мВ</w:t>
        <w:tab/>
        <w:tab/>
        <w:tab/>
        <w:tab/>
        <w:tab/>
        <w:tab/>
        <w:tab/>
      </w:r>
    </w:p>
    <w:p>
      <w:pPr>
        <w:pStyle w:val="BodyText"/>
        <w:spacing w:lineRule="auto" w:line="24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ΔI=11.24−4.30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=6.94 мА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ab/>
        <w:tab/>
        <w:tab/>
        <w:tab/>
        <w:tab/>
      </w:r>
    </w:p>
    <w:p>
      <w:pPr>
        <w:pStyle w:val="BodyText"/>
        <w:spacing w:lineRule="auto" w:line="240" w:before="0" w:after="0"/>
        <w:jc w:val="center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ab/>
        <w:t>h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>11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=50/6.94=7,20 Ω</w:t>
        <w:tab/>
        <w:tab/>
        <w:tab/>
        <w:tab/>
        <w:tab/>
        <w:tab/>
        <w:tab/>
      </w:r>
    </w:p>
    <w:p>
      <w:pPr>
        <w:pStyle w:val="Heading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На промежутке 250-300 mВ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ΔU=300−250=50 мВ</w:t>
        <w:tab/>
        <w:tab/>
        <w:tab/>
        <w:tab/>
        <w:tab/>
        <w:tab/>
        <w:tab/>
      </w:r>
    </w:p>
    <w:p>
      <w:pPr>
        <w:pStyle w:val="BodyText"/>
        <w:spacing w:lineRule="auto" w:line="24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>ΔI=19.46−11.24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=8.22 мА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ab/>
        <w:tab/>
        <w:tab/>
        <w:tab/>
        <w:tab/>
        <w:tab/>
      </w:r>
    </w:p>
    <w:p>
      <w:pPr>
        <w:pStyle w:val="BodyText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ab/>
        <w:t>h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>11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=50/8.22=6.08Ω</w:t>
        <w:tab/>
        <w:tab/>
        <w:tab/>
        <w:tab/>
        <w:tab/>
        <w:tab/>
        <w:tab/>
      </w:r>
    </w:p>
    <w:p>
      <w:pPr>
        <w:pStyle w:val="Heading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Итого:</w:t>
      </w:r>
    </w:p>
    <w:p>
      <w:pPr>
        <w:pStyle w:val="BodyText"/>
        <w:jc w:val="center"/>
        <w:rPr/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h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11ср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= 265.82</w:t>
        <w:tab/>
        <w:tab/>
        <w:tab/>
        <w:tab/>
        <w:tab/>
        <w:tab/>
        <w:tab/>
      </w:r>
    </w:p>
    <w:p>
      <w:pPr>
        <w:pStyle w:val="Heading2"/>
        <w:numPr>
          <w:ilvl w:val="1"/>
          <w:numId w:val="2"/>
        </w:numPr>
        <w:ind w:hanging="0" w:left="0"/>
        <w:jc w:val="center"/>
        <w:rPr>
          <w:sz w:val="24"/>
          <w:szCs w:val="24"/>
        </w:rPr>
      </w:pPr>
      <w:bookmarkStart w:id="10" w:name="__RefHeading___Toc26178_1479738501"/>
      <w:bookmarkEnd w:id="10"/>
      <w:r>
        <w:rPr>
          <w:sz w:val="24"/>
          <w:szCs w:val="24"/>
        </w:rPr>
        <w:t xml:space="preserve">Таблица 5.2. Выходные характеристики биполярного транзистора в схеме включения с ОБ </w:t>
      </w:r>
    </w:p>
    <w:tbl>
      <w:tblPr>
        <w:tblW w:w="9614" w:type="dxa"/>
        <w:jc w:val="left"/>
        <w:tblInd w:w="7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25"/>
        <w:gridCol w:w="1167"/>
        <w:gridCol w:w="1398"/>
        <w:gridCol w:w="1473"/>
        <w:gridCol w:w="1413"/>
        <w:gridCol w:w="1696"/>
        <w:gridCol w:w="1742"/>
      </w:tblGrid>
      <w:tr>
        <w:trPr/>
        <w:tc>
          <w:tcPr>
            <w:tcW w:w="1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spacing w:before="0" w:after="140"/>
              <w:ind w:hanging="0" w:left="0" w:right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shd w:fill="FFFFFF" w:val="clear"/>
              </w:rPr>
              <w:t>U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  <w:t>КБ,В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72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spacing w:before="0" w:after="140"/>
              <w:ind w:hanging="0" w:left="0" w:right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</w:pP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shd w:fill="FFFFFF" w:val="clear"/>
              </w:rPr>
              <w:t>I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  <w:t>к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shd w:fill="FFFFFF" w:val="clear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  <w:t>мA</w:t>
            </w:r>
          </w:p>
        </w:tc>
        <w:tc>
          <w:tcPr>
            <w:tcW w:w="11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spacing w:before="0" w:after="140"/>
              <w:ind w:hanging="0" w:left="0" w:right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</w:pP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shd w:fill="FFFFFF" w:val="clear"/>
              </w:rPr>
              <w:t>I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  <w:t>Э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shd w:fill="FFFFFF" w:val="clear"/>
              </w:rPr>
              <w:t xml:space="preserve">= 5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  <w:t>мА</w:t>
            </w:r>
          </w:p>
        </w:tc>
        <w:tc>
          <w:tcPr>
            <w:tcW w:w="1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0,50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0,60</w:t>
            </w:r>
          </w:p>
        </w:tc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0,86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1,07</w:t>
            </w:r>
          </w:p>
        </w:tc>
        <w:tc>
          <w:tcPr>
            <w:tcW w:w="17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1,20</w:t>
            </w:r>
          </w:p>
        </w:tc>
      </w:tr>
      <w:tr>
        <w:trPr/>
        <w:tc>
          <w:tcPr>
            <w:tcW w:w="72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1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spacing w:before="0" w:after="140"/>
              <w:ind w:hanging="0" w:left="0" w:right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shd w:fill="FFFFFF" w:val="clear"/>
              </w:rPr>
              <w:t>I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  <w:t>Э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shd w:fill="FFFFFF" w:val="clear"/>
              </w:rPr>
              <w:t xml:space="preserve">= 10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  <w:t>мА</w:t>
            </w:r>
          </w:p>
        </w:tc>
        <w:tc>
          <w:tcPr>
            <w:tcW w:w="13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0,58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0,74</w:t>
            </w:r>
          </w:p>
        </w:tc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0,90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1,09</w:t>
            </w:r>
          </w:p>
        </w:tc>
        <w:tc>
          <w:tcPr>
            <w:tcW w:w="17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1,19</w:t>
            </w:r>
          </w:p>
        </w:tc>
      </w:tr>
    </w:tbl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1532890</wp:posOffset>
            </wp:positionH>
            <wp:positionV relativeFrom="paragraph">
              <wp:posOffset>156210</wp:posOffset>
            </wp:positionV>
            <wp:extent cx="3249930" cy="258000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0" r="18664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58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suppressAutoHyphens w:val="true"/>
        <w:ind w:hanging="0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ind w:hanging="0" w:left="0"/>
        <w:jc w:val="center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ind w:hanging="0" w:left="0"/>
        <w:jc w:val="center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ind w:hanging="0" w:left="0"/>
        <w:jc w:val="center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ind w:hanging="0" w:left="0"/>
        <w:jc w:val="center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ind w:hanging="0" w:left="0"/>
        <w:jc w:val="center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ind w:hanging="0" w:left="0"/>
        <w:jc w:val="center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ind w:hanging="0" w:left="0"/>
        <w:jc w:val="center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ind w:hanging="0" w:left="0"/>
        <w:jc w:val="center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numPr>
          <w:ilvl w:val="2"/>
          <w:numId w:val="1"/>
        </w:numPr>
        <w:ind w:hanging="0" w:left="0"/>
        <w:jc w:val="center"/>
        <w:rPr/>
      </w:pPr>
      <w:bookmarkStart w:id="11" w:name="__RefHeading___Toc26180_1479738501"/>
      <w:bookmarkEnd w:id="11"/>
      <w:r>
        <w:rPr/>
        <w:t>Рассчет h</w:t>
      </w:r>
      <w:r>
        <w:rPr>
          <w:vertAlign w:val="subscript"/>
        </w:rPr>
        <w:t xml:space="preserve">22e​ </w:t>
      </w:r>
      <w:r>
        <w:rPr>
          <w:position w:val="0"/>
          <w:sz w:val="28"/>
          <w:sz w:val="28"/>
          <w:vertAlign w:val="baseline"/>
        </w:rPr>
        <w:t xml:space="preserve"> для таблицы 5.2</w:t>
      </w:r>
    </w:p>
    <w:p>
      <w:pPr>
        <w:pStyle w:val="BodyText"/>
        <w:jc w:val="center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22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​=ΔI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C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​​ / Δu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 xml:space="preserve">кб​ 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32"/>
          <w:sz w:val="32"/>
          <w:szCs w:val="32"/>
          <w:shd w:fill="FFFFFF" w:val="clear"/>
          <w:vertAlign w:val="baseline"/>
        </w:rPr>
        <w:t>|  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б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FFFFFF" w:val="clear"/>
          <w:vertAlign w:val="baseline"/>
        </w:rPr>
        <w:t>=const​</w:t>
      </w:r>
    </w:p>
    <w:p>
      <w:pPr>
        <w:pStyle w:val="Heading3"/>
        <w:numPr>
          <w:ilvl w:val="0"/>
          <w:numId w:val="0"/>
        </w:numPr>
        <w:ind w:hanging="0" w:left="0"/>
        <w:jc w:val="center"/>
        <w:rPr>
          <w:rFonts w:ascii="Times New Roman" w:hAnsi="Times New Roman"/>
          <w:b/>
          <w:bCs/>
        </w:rPr>
      </w:pPr>
      <w:bookmarkStart w:id="12" w:name="__RefHeading___Toc26182_1479738501"/>
      <w:bookmarkEnd w:id="12"/>
      <w:r>
        <w:rPr>
          <w:rFonts w:ascii="Times New Roman" w:hAnsi="Times New Roman"/>
          <w:b/>
          <w:bCs/>
        </w:rPr>
        <w:tab/>
        <w:t>Для I</w:t>
      </w:r>
      <w:r>
        <w:rPr>
          <w:rFonts w:ascii="Times New Roman" w:hAnsi="Times New Roman"/>
          <w:b/>
          <w:bCs/>
          <w:vertAlign w:val="subscript"/>
        </w:rPr>
        <w:t xml:space="preserve">э </w:t>
      </w:r>
      <w:r>
        <w:rPr>
          <w:rFonts w:ascii="Times New Roman" w:hAnsi="Times New Roman"/>
          <w:b/>
          <w:bCs/>
          <w:i/>
          <w:sz w:val="24"/>
          <w:szCs w:val="24"/>
        </w:rPr>
        <w:t>=  5 mA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bookmarkStart w:id="13" w:name="__RefHeading___Toc26184_1479738501"/>
      <w:bookmarkEnd w:id="13"/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0→1: ΔU=1, ΔI=0.60−0.50=0.10 mA →</w:t>
        <w:tab/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h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22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​=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0.10 mA/V = 0.00010 С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им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bookmarkStart w:id="14" w:name="__RefHeading___Toc26186_1479738501"/>
      <w:bookmarkEnd w:id="14"/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1→2: ΔU=1, ΔI=0.86−0.60=0.26 mA →</w:t>
        <w:tab/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h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22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​=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0.26 mA/V = 0.00026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С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им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bookmarkStart w:id="15" w:name="__RefHeading___Toc26188_1479738501"/>
      <w:bookmarkEnd w:id="15"/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2→4: ΔU=2, ΔI=1.07−0.86=0.21 mA →</w:t>
        <w:tab/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h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22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​=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0.105 mA/V =0.000105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С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им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bookmarkStart w:id="16" w:name="__RefHeading___Toc26190_1479738501"/>
      <w:bookmarkEnd w:id="16"/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4→5: ΔU=1, ΔI=1.20−1.07=0.13 mA →</w:t>
        <w:tab/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h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22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​=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0.13 mA/V = 0.00013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С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им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before="140" w:after="120"/>
        <w:ind w:hanging="0" w:left="0" w:right="0"/>
        <w:jc w:val="left"/>
        <w:outlineLvl w:val="2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Heading3"/>
        <w:numPr>
          <w:ilvl w:val="0"/>
          <w:numId w:val="0"/>
        </w:numPr>
        <w:ind w:hanging="0" w:left="0"/>
        <w:jc w:val="center"/>
        <w:rPr>
          <w:rFonts w:ascii="Times New Roman" w:hAnsi="Times New Roman"/>
          <w:b/>
          <w:bCs/>
        </w:rPr>
      </w:pPr>
      <w:bookmarkStart w:id="17" w:name="__RefHeading___Toc26192_1479738501"/>
      <w:bookmarkEnd w:id="17"/>
      <w:r>
        <w:rPr>
          <w:rFonts w:ascii="Times New Roman" w:hAnsi="Times New Roman"/>
          <w:b/>
          <w:bCs/>
        </w:rPr>
        <w:tab/>
        <w:t>Для I</w:t>
      </w:r>
      <w:r>
        <w:rPr>
          <w:rFonts w:ascii="Times New Roman" w:hAnsi="Times New Roman"/>
          <w:b/>
          <w:bCs/>
          <w:vertAlign w:val="subscript"/>
        </w:rPr>
        <w:t xml:space="preserve">э </w:t>
      </w:r>
      <w:r>
        <w:rPr>
          <w:rFonts w:ascii="Times New Roman" w:hAnsi="Times New Roman"/>
          <w:b/>
          <w:bCs/>
        </w:rPr>
        <w:t xml:space="preserve">=  10 mA 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bookmarkStart w:id="18" w:name="__RefHeading___Toc26194_1479738501"/>
      <w:bookmarkEnd w:id="18"/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0→1: ΔU=1, ΔI=0.74−0.58=0.16 mA →</w:t>
        <w:tab/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h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22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​=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0.16mA/V = 0.00016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С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им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bookmarkStart w:id="19" w:name="__RefHeading___Toc26196_1479738501"/>
      <w:bookmarkEnd w:id="19"/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1→2: ΔU=1, ΔI=0.90−0.74=0.16 mA →</w:t>
        <w:tab/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h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22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​=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0.16 mA/V = 0.00016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С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им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bookmarkStart w:id="20" w:name="__RefHeading___Toc26198_1479738501"/>
      <w:bookmarkEnd w:id="20"/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2→4: ΔU=2, ΔI=1.09−0.90=0.19 mA →</w:t>
        <w:tab/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h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22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​=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0.095 mA/V =0.000095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С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им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bookmarkStart w:id="21" w:name="__RefHeading___Toc26200_1479738501"/>
      <w:bookmarkEnd w:id="21"/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4→5: ΔU=1, ΔI=1.19−1.09=0.10 mA →</w:t>
        <w:tab/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h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22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​=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0.10 mA/V = 0.00010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 С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>им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before="140" w:after="120"/>
        <w:ind w:hanging="624" w:left="0" w:right="0"/>
        <w:jc w:val="left"/>
        <w:outlineLvl w:val="2"/>
        <w:rPr>
          <w:rFonts w:ascii="Times New Roman" w:hAnsi="Times New Roman"/>
          <w:sz w:val="26"/>
          <w:szCs w:val="26"/>
        </w:rPr>
      </w:pPr>
      <w:bookmarkStart w:id="22" w:name="__RefHeading___Toc26202_1479738501"/>
      <w:bookmarkEnd w:id="22"/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</w:rPr>
        <w:tab/>
        <w:tab/>
      </w:r>
      <w:r>
        <w:br w:type="page"/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bidi w:val="0"/>
        <w:spacing w:before="0" w:after="120"/>
        <w:ind w:hanging="0" w:left="0" w:right="0"/>
        <w:jc w:val="center"/>
        <w:rPr>
          <w:rFonts w:ascii="Times New Roman" w:hAnsi="Times New Roman"/>
          <w:sz w:val="24"/>
          <w:szCs w:val="24"/>
        </w:rPr>
      </w:pPr>
      <w:bookmarkStart w:id="23" w:name="__RefHeading___Toc26204_1479738501"/>
      <w:bookmarkEnd w:id="23"/>
      <w:r>
        <w:rPr>
          <w:rFonts w:ascii="Times New Roman" w:hAnsi="Times New Roman"/>
          <w:sz w:val="24"/>
          <w:szCs w:val="24"/>
        </w:rPr>
        <w:t xml:space="preserve">Таблица 5.3. Входные характеристики биполярного транзистора в схеме включения с ОЭ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45"/>
        <w:gridCol w:w="1012"/>
        <w:gridCol w:w="850"/>
        <w:gridCol w:w="900"/>
        <w:gridCol w:w="909"/>
        <w:gridCol w:w="1020"/>
        <w:gridCol w:w="985"/>
        <w:gridCol w:w="803"/>
        <w:gridCol w:w="807"/>
        <w:gridCol w:w="803"/>
        <w:gridCol w:w="804"/>
      </w:tblGrid>
      <w:tr>
        <w:trPr>
          <w:trHeight w:val="569" w:hRule="atLeast"/>
        </w:trPr>
        <w:tc>
          <w:tcPr>
            <w:tcW w:w="17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shd w:fill="FFFFFF" w:val="clear"/>
              </w:rPr>
              <w:t>U</w:t>
            </w: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shd w:fill="FFFFFF" w:val="clear"/>
                <w:vertAlign w:val="subscript"/>
              </w:rPr>
              <w:t>БЭ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fill="FFFFFF" w:val="clear"/>
              </w:rPr>
              <w:t>, мВ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180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250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300</w:t>
            </w:r>
          </w:p>
        </w:tc>
      </w:tr>
      <w:tr>
        <w:trPr>
          <w:trHeight w:val="953" w:hRule="atLeast"/>
        </w:trPr>
        <w:tc>
          <w:tcPr>
            <w:tcW w:w="74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bidi w:val="0"/>
              <w:spacing w:before="0" w:after="14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shd w:fill="FFFFFF" w:val="clear"/>
              </w:rPr>
              <w:t>I</w:t>
            </w: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shd w:fill="FFFFFF" w:val="clear"/>
                <w:vertAlign w:val="subscript"/>
              </w:rPr>
              <w:t>Б</w:t>
            </w: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shd w:fill="FFFFFF" w:val="clear"/>
              </w:rPr>
              <w:t>,мA</w:t>
            </w:r>
          </w:p>
        </w:tc>
        <w:tc>
          <w:tcPr>
            <w:tcW w:w="10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bidi w:val="0"/>
              <w:spacing w:before="0" w:after="140"/>
              <w:ind w:hanging="0" w:left="0" w:right="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shd w:fill="FFFFFF" w:val="clear"/>
              </w:rPr>
              <w:t>U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  <w:vertAlign w:val="subscript"/>
              </w:rPr>
              <w:t>КЭ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shd w:fill="FFFFFF" w:val="clear"/>
              </w:rPr>
              <w:t>=  0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  <w:t>В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0,4</w:t>
            </w:r>
          </w:p>
        </w:tc>
        <w:tc>
          <w:tcPr>
            <w:tcW w:w="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0,8</w:t>
            </w:r>
          </w:p>
        </w:tc>
        <w:tc>
          <w:tcPr>
            <w:tcW w:w="8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0,8</w:t>
            </w:r>
          </w:p>
        </w:tc>
        <w:tc>
          <w:tcPr>
            <w:tcW w:w="8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1,7</w:t>
            </w:r>
          </w:p>
        </w:tc>
        <w:tc>
          <w:tcPr>
            <w:tcW w:w="8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3,1</w:t>
            </w:r>
          </w:p>
        </w:tc>
        <w:tc>
          <w:tcPr>
            <w:tcW w:w="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4,8</w:t>
            </w:r>
          </w:p>
        </w:tc>
      </w:tr>
      <w:tr>
        <w:trPr>
          <w:trHeight w:val="1019" w:hRule="atLeast"/>
        </w:trPr>
        <w:tc>
          <w:tcPr>
            <w:tcW w:w="74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bidi w:val="0"/>
              <w:spacing w:before="0" w:after="140"/>
              <w:ind w:hanging="0" w:left="0" w:right="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shd w:fill="FFFFFF" w:val="clear"/>
              </w:rPr>
              <w:t>U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  <w:vertAlign w:val="subscript"/>
              </w:rPr>
              <w:t>КЭ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shd w:fill="FFFFFF" w:val="clear"/>
              </w:rPr>
              <w:t xml:space="preserve">= -5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shd w:fill="FFFFFF" w:val="clear"/>
              </w:rPr>
              <w:t>В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8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0,1</w:t>
            </w:r>
          </w:p>
        </w:tc>
        <w:tc>
          <w:tcPr>
            <w:tcW w:w="8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0,2</w:t>
            </w:r>
          </w:p>
        </w:tc>
        <w:tc>
          <w:tcPr>
            <w:tcW w:w="8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0,5</w:t>
            </w:r>
          </w:p>
        </w:tc>
        <w:tc>
          <w:tcPr>
            <w:tcW w:w="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1</w:t>
            </w:r>
          </w:p>
        </w:tc>
      </w:tr>
    </w:tbl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1214755</wp:posOffset>
            </wp:positionH>
            <wp:positionV relativeFrom="paragraph">
              <wp:posOffset>100965</wp:posOffset>
            </wp:positionV>
            <wp:extent cx="3690620" cy="241935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62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3"/>
        <w:numPr>
          <w:ilvl w:val="2"/>
          <w:numId w:val="1"/>
        </w:numPr>
        <w:ind w:hanging="0" w:left="0"/>
        <w:jc w:val="center"/>
        <w:rPr/>
      </w:pPr>
      <w:bookmarkStart w:id="24" w:name="__RefHeading___Toc26206_1479738501"/>
      <w:bookmarkEnd w:id="24"/>
      <w:r>
        <w:rPr/>
        <w:t>Рассчет h</w:t>
      </w:r>
      <w:r>
        <w:rPr>
          <w:vertAlign w:val="subscript"/>
        </w:rPr>
        <w:t>1</w:t>
      </w:r>
      <w:r>
        <w:rPr>
          <w:vertAlign w:val="subscript"/>
        </w:rPr>
        <w:t>1</w:t>
      </w:r>
      <w:r>
        <w:rPr>
          <w:vertAlign w:val="subscript"/>
        </w:rPr>
        <w:t xml:space="preserve">e​ </w:t>
      </w:r>
      <w:r>
        <w:rPr/>
        <w:t xml:space="preserve"> для таблицы 5.3</w:t>
      </w:r>
    </w:p>
    <w:p>
      <w:pPr>
        <w:pStyle w:val="BodyText"/>
        <w:jc w:val="center"/>
        <w:rPr/>
      </w:pPr>
      <w:bookmarkStart w:id="25" w:name="__RefHeading___Toc26208_1479738501"/>
      <w:bookmarkEnd w:id="25"/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32"/>
          <w:sz w:val="32"/>
          <w:szCs w:val="32"/>
          <w:shd w:fill="FFFFFF" w:val="clear"/>
          <w:vertAlign w:val="baseline"/>
        </w:rPr>
        <w:t>h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11e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​ = ΔU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 xml:space="preserve">БЭ 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/ ΔI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  <w:vertAlign w:val="subscript"/>
        </w:rPr>
        <w:t>Б​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32"/>
          <w:sz w:val="32"/>
          <w:szCs w:val="32"/>
          <w:shd w:fill="FFFFFF" w:val="clear"/>
          <w:vertAlign w:val="baseline"/>
        </w:rPr>
        <w:t xml:space="preserve"> | 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FFFFFF" w:val="clear"/>
          <w:vertAlign w:val="baseline"/>
        </w:rPr>
        <w:t>U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vertAlign w:val="subscript"/>
        </w:rPr>
        <w:t>КЭ​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FFFFFF" w:val="clear"/>
          <w:vertAlign w:val="baseline"/>
        </w:rPr>
        <w:t>=const​</w:t>
      </w:r>
    </w:p>
    <w:p>
      <w:pPr>
        <w:pStyle w:val="BodyText"/>
        <w:rPr/>
      </w:pPr>
      <w:bookmarkStart w:id="26" w:name="__RefHeading___Toc26210_1479738501"/>
      <w:bookmarkEnd w:id="26"/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Интервал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БЭ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30...60 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мВ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: </w:t>
        <w:tab/>
        <w:tab/>
        <w:t>ΔI=0 →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hd w:fill="FFFFFF" w:val="clear"/>
          <w:vertAlign w:val="baseline"/>
        </w:rPr>
        <w:t>h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  <w:vertAlign w:val="subscript"/>
        </w:rPr>
        <w:t>11e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​ = не определён (бесконечно большой)</w:t>
      </w:r>
    </w:p>
    <w:p>
      <w:pPr>
        <w:pStyle w:val="BodyText"/>
        <w:rPr/>
      </w:pPr>
      <w:bookmarkStart w:id="27" w:name="__RefHeading___Toc26212_1479738501"/>
      <w:bookmarkEnd w:id="27"/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Интервал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БЭ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60...90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мВ 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: </w:t>
        <w:tab/>
        <w:tab/>
        <w:t>ΔI=0 →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hd w:fill="FFFFFF" w:val="clear"/>
          <w:vertAlign w:val="baseline"/>
        </w:rPr>
        <w:t>h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  <w:vertAlign w:val="subscript"/>
        </w:rPr>
        <w:t>11e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​ = не определён</w:t>
      </w:r>
    </w:p>
    <w:p>
      <w:pPr>
        <w:pStyle w:val="BodyText"/>
        <w:rPr/>
      </w:pPr>
      <w:bookmarkStart w:id="28" w:name="__RefHeading___Toc26210_1479738501_Copy_"/>
      <w:bookmarkEnd w:id="28"/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Интервал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БЭ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Fonts w:ascii="Times New Roman" w:hAnsi="Times New Roman"/>
          <w:color w:val="000000"/>
          <w:shd w:fill="FFFFFF" w:val="clear"/>
        </w:rPr>
        <w:t>90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...</w:t>
      </w:r>
      <w:r>
        <w:rPr>
          <w:rFonts w:ascii="Times New Roman" w:hAnsi="Times New Roman"/>
          <w:color w:val="000000"/>
          <w:shd w:fill="FFFFFF" w:val="clear"/>
        </w:rPr>
        <w:t xml:space="preserve">120 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мВ :</w:t>
      </w:r>
      <w:r>
        <w:rPr>
          <w:rFonts w:ascii="Times New Roman" w:hAnsi="Times New Roman"/>
          <w:color w:val="000000"/>
          <w:shd w:fill="FFFFFF" w:val="clear"/>
        </w:rPr>
        <w:t> </w:t>
        <w:tab/>
        <w:t xml:space="preserve">ΔU=30, ΔI=0.4 → 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hd w:fill="FFFFFF" w:val="clear"/>
          <w:vertAlign w:val="baseline"/>
        </w:rPr>
        <w:t>h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  <w:vertAlign w:val="subscript"/>
        </w:rPr>
        <w:t>11e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​ =</w:t>
      </w:r>
      <w:r>
        <w:rPr>
          <w:rFonts w:ascii="Times New Roman" w:hAnsi="Times New Roman"/>
          <w:color w:val="000000"/>
          <w:shd w:fill="FFFFFF" w:val="clear"/>
        </w:rPr>
        <w:t> 30/0.4=75 </w:t>
      </w:r>
    </w:p>
    <w:p>
      <w:pPr>
        <w:pStyle w:val="BodyText"/>
        <w:rPr/>
      </w:pPr>
      <w:bookmarkStart w:id="29" w:name="__RefHeading___Toc26210_1479738501_Copy1"/>
      <w:bookmarkEnd w:id="29"/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Интервал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БЭ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Fonts w:ascii="Times New Roman" w:hAnsi="Times New Roman"/>
          <w:color w:val="000000"/>
          <w:shd w:fill="FFFFFF" w:val="clear"/>
        </w:rPr>
        <w:t>120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...</w:t>
      </w:r>
      <w:r>
        <w:rPr>
          <w:rFonts w:ascii="Times New Roman" w:hAnsi="Times New Roman"/>
          <w:color w:val="000000"/>
          <w:shd w:fill="FFFFFF" w:val="clear"/>
        </w:rPr>
        <w:t>150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мВ </w:t>
      </w:r>
      <w:r>
        <w:rPr>
          <w:rFonts w:ascii="Times New Roman" w:hAnsi="Times New Roman"/>
          <w:color w:val="000000"/>
          <w:shd w:fill="FFFFFF" w:val="clear"/>
        </w:rPr>
        <w:t>: </w:t>
        <w:tab/>
      </w:r>
      <w:r>
        <w:rPr>
          <w:rFonts w:ascii="Times New Roman" w:hAnsi="Times New Roman"/>
          <w:i w:val="false"/>
          <w:caps w:val="false"/>
          <w:smallCaps w:val="false"/>
          <w:color w:val="000000"/>
          <w:spacing w:val="0"/>
        </w:rPr>
        <w:t>ΔU=30 , ΔI=0.4</w:t>
      </w:r>
      <w:r>
        <w:rPr>
          <w:rFonts w:ascii="Times New Roman" w:hAnsi="Times New Roman"/>
          <w:caps w:val="false"/>
          <w:smallCaps w:val="false"/>
          <w:color w:val="000000"/>
          <w:spacing w:val="0"/>
        </w:rPr>
        <w:t xml:space="preserve">→ 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hd w:fill="FFFFFF" w:val="clear"/>
          <w:vertAlign w:val="baseline"/>
        </w:rPr>
        <w:t>h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  <w:vertAlign w:val="subscript"/>
        </w:rPr>
        <w:t>11e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​ = </w:t>
      </w:r>
      <w:r>
        <w:rPr>
          <w:rFonts w:ascii="Times New Roman" w:hAnsi="Times New Roman"/>
          <w:i w:val="false"/>
          <w:caps w:val="false"/>
          <w:smallCaps w:val="false"/>
          <w:color w:val="000000"/>
          <w:spacing w:val="0"/>
        </w:rPr>
        <w:t>30/0.4=75 </w:t>
      </w:r>
    </w:p>
    <w:p>
      <w:pPr>
        <w:pStyle w:val="BodyText"/>
        <w:rPr/>
      </w:pPr>
      <w:bookmarkStart w:id="30" w:name="__RefHeading___Toc26210_1479738501_Copy2"/>
      <w:bookmarkEnd w:id="30"/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Интервал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БЭ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Fonts w:ascii="Times New Roman" w:hAnsi="Times New Roman"/>
          <w:color w:val="000000"/>
          <w:shd w:fill="FFFFFF" w:val="clear"/>
        </w:rPr>
        <w:t>150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...</w:t>
      </w:r>
      <w:r>
        <w:rPr>
          <w:rFonts w:ascii="Times New Roman" w:hAnsi="Times New Roman"/>
          <w:color w:val="000000"/>
          <w:shd w:fill="FFFFFF" w:val="clear"/>
        </w:rPr>
        <w:t>180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мВ </w:t>
      </w:r>
      <w:r>
        <w:rPr>
          <w:rFonts w:ascii="Times New Roman" w:hAnsi="Times New Roman"/>
          <w:color w:val="000000"/>
          <w:shd w:fill="FFFFFF" w:val="clear"/>
        </w:rPr>
        <w:t>: </w:t>
        <w:tab/>
        <w:t>ΔI=0 →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hd w:fill="FFFFFF" w:val="clear"/>
          <w:vertAlign w:val="baseline"/>
        </w:rPr>
        <w:t>h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  <w:vertAlign w:val="subscript"/>
        </w:rPr>
        <w:t>11e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​ = </w:t>
      </w:r>
      <w:r>
        <w:rPr>
          <w:rFonts w:ascii="Times New Roman" w:hAnsi="Times New Roman"/>
          <w:color w:val="000000"/>
          <w:shd w:fill="FFFFFF" w:val="clear"/>
        </w:rPr>
        <w:t>не определён</w:t>
      </w:r>
    </w:p>
    <w:p>
      <w:pPr>
        <w:pStyle w:val="BodyText"/>
        <w:rPr/>
      </w:pPr>
      <w:bookmarkStart w:id="31" w:name="__RefHeading___Toc26210_1479738501_Copy3"/>
      <w:bookmarkEnd w:id="31"/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Интервал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БЭ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Fonts w:ascii="Times New Roman" w:hAnsi="Times New Roman"/>
          <w:color w:val="000000"/>
          <w:shd w:fill="FFFFFF" w:val="clear"/>
        </w:rPr>
        <w:t>180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...</w:t>
      </w:r>
      <w:r>
        <w:rPr>
          <w:rFonts w:ascii="Times New Roman" w:hAnsi="Times New Roman"/>
          <w:color w:val="000000"/>
          <w:shd w:fill="FFFFFF" w:val="clear"/>
        </w:rPr>
        <w:t>200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мВ </w:t>
      </w:r>
      <w:r>
        <w:rPr>
          <w:rFonts w:ascii="Times New Roman" w:hAnsi="Times New Roman"/>
          <w:color w:val="000000"/>
          <w:shd w:fill="FFFFFF" w:val="clear"/>
        </w:rPr>
        <w:t>: </w:t>
        <w:tab/>
        <w:t>ΔU=20, ΔI=1.7−0.8=0.9 →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hd w:fill="FFFFFF" w:val="clear"/>
          <w:vertAlign w:val="baseline"/>
        </w:rPr>
        <w:t>h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  <w:vertAlign w:val="subscript"/>
        </w:rPr>
        <w:t>11e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​ =</w:t>
      </w:r>
      <w:r>
        <w:rPr>
          <w:rFonts w:ascii="Times New Roman" w:hAnsi="Times New Roman"/>
          <w:color w:val="000000"/>
          <w:shd w:fill="FFFFFF" w:val="clear"/>
        </w:rPr>
        <w:t> 20/0.9 ≈ 22.22 Ω</w:t>
        <w:tab/>
        <w:tab/>
      </w:r>
    </w:p>
    <w:p>
      <w:pPr>
        <w:pStyle w:val="BodyText"/>
        <w:rPr/>
      </w:pPr>
      <w:bookmarkStart w:id="32" w:name="__RefHeading___Toc26210_1479738501_Copy4"/>
      <w:bookmarkEnd w:id="32"/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Интервал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БЭ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Fonts w:ascii="Times New Roman" w:hAnsi="Times New Roman"/>
          <w:color w:val="000000"/>
          <w:shd w:fill="FFFFFF" w:val="clear"/>
        </w:rPr>
        <w:t>200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...</w:t>
      </w:r>
      <w:r>
        <w:rPr>
          <w:rFonts w:ascii="Times New Roman" w:hAnsi="Times New Roman"/>
          <w:color w:val="000000"/>
          <w:shd w:fill="FFFFFF" w:val="clear"/>
        </w:rPr>
        <w:t>250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мВ </w:t>
      </w:r>
      <w:r>
        <w:rPr>
          <w:rFonts w:ascii="Times New Roman" w:hAnsi="Times New Roman"/>
          <w:color w:val="000000"/>
          <w:shd w:fill="FFFFFF" w:val="clear"/>
        </w:rPr>
        <w:t>: </w:t>
        <w:tab/>
        <w:t>ΔU=50, ΔI=3.1−1.7=1.4 →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hd w:fill="FFFFFF" w:val="clear"/>
          <w:vertAlign w:val="baseline"/>
        </w:rPr>
        <w:t>h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  <w:vertAlign w:val="subscript"/>
        </w:rPr>
        <w:t>11e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​ =</w:t>
      </w:r>
      <w:r>
        <w:rPr>
          <w:rFonts w:ascii="Times New Roman" w:hAnsi="Times New Roman"/>
          <w:color w:val="000000"/>
          <w:shd w:fill="FFFFFF" w:val="clear"/>
        </w:rPr>
        <w:t> 50/1.4 ≈ 35.71 Ω</w:t>
      </w:r>
    </w:p>
    <w:p>
      <w:pPr>
        <w:pStyle w:val="BodyText"/>
        <w:rPr/>
      </w:pPr>
      <w:bookmarkStart w:id="33" w:name="__RefHeading___Toc26210_1479738501_Copy5"/>
      <w:bookmarkEnd w:id="33"/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Интервал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БЭ </w:t>
      </w:r>
      <w:r>
        <w:rPr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Fonts w:ascii="Times New Roman" w:hAnsi="Times New Roman"/>
          <w:color w:val="000000"/>
          <w:shd w:fill="FFFFFF" w:val="clear"/>
        </w:rPr>
        <w:t>250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...</w:t>
      </w:r>
      <w:r>
        <w:rPr>
          <w:rFonts w:ascii="Times New Roman" w:hAnsi="Times New Roman"/>
          <w:color w:val="000000"/>
          <w:shd w:fill="FFFFFF" w:val="clear"/>
        </w:rPr>
        <w:t>300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 xml:space="preserve">мВ </w:t>
      </w:r>
      <w:r>
        <w:rPr>
          <w:rFonts w:ascii="Times New Roman" w:hAnsi="Times New Roman"/>
          <w:color w:val="000000"/>
          <w:shd w:fill="FFFFFF" w:val="clear"/>
        </w:rPr>
        <w:t>: </w:t>
        <w:tab/>
        <w:t>ΔU=50, ΔI=4.8−3.1=1.7 →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hd w:fill="FFFFFF" w:val="clear"/>
          <w:vertAlign w:val="baseline"/>
        </w:rPr>
        <w:t>h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  <w:vertAlign w:val="subscript"/>
        </w:rPr>
        <w:t>11e</w:t>
      </w:r>
      <w:r>
        <w:rPr>
          <w:rFonts w:ascii="Times New Roman" w:hAnsi="Times New Roman"/>
          <w:i w:val="false"/>
          <w:iCs w:val="false"/>
          <w:caps w:val="false"/>
          <w:smallCaps w:val="false"/>
          <w:color w:val="000000"/>
          <w:spacing w:val="0"/>
          <w:shd w:fill="FFFFFF" w:val="clear"/>
        </w:rPr>
        <w:t>​ =</w:t>
      </w:r>
      <w:r>
        <w:rPr>
          <w:rFonts w:ascii="Times New Roman" w:hAnsi="Times New Roman"/>
          <w:color w:val="000000"/>
          <w:shd w:fill="FFFFFF" w:val="clear"/>
        </w:rPr>
        <w:t> 50/1.7≈29.41 Ω</w:t>
      </w:r>
    </w:p>
    <w:p>
      <w:pPr>
        <w:pStyle w:val="BodyText"/>
        <w:numPr>
          <w:ilvl w:val="0"/>
          <w:numId w:val="0"/>
        </w:numPr>
        <w:suppressAutoHyphens w:val="true"/>
        <w:spacing w:before="26" w:after="6"/>
        <w:ind w:hanging="0" w:left="0" w:right="0"/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</w:r>
    </w:p>
    <w:p>
      <w:pPr>
        <w:pStyle w:val="BodyText"/>
        <w:widowControl/>
        <w:suppressAutoHyphens w:val="true"/>
        <w:bidi w:val="0"/>
        <w:spacing w:lineRule="auto" w:line="276" w:before="26" w:after="6"/>
        <w:ind w:firstLine="283" w:left="0" w:right="0"/>
        <w:jc w:val="lef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ab/>
        <w:tab/>
        <w:tab/>
        <w:tab/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before="140" w:after="120"/>
        <w:ind w:hanging="0" w:left="0"/>
        <w:jc w:val="left"/>
        <w:outlineLvl w:val="2"/>
        <w:rPr/>
      </w:pPr>
      <w:r>
        <w:rPr/>
      </w:r>
      <w:r>
        <w:br w:type="page"/>
      </w:r>
    </w:p>
    <w:p>
      <w:pPr>
        <w:pStyle w:val="Heading2"/>
        <w:numPr>
          <w:ilvl w:val="0"/>
          <w:numId w:val="0"/>
        </w:numPr>
        <w:spacing w:before="0" w:after="120"/>
        <w:ind w:hanging="0" w:left="0"/>
        <w:jc w:val="center"/>
        <w:rPr>
          <w:sz w:val="24"/>
          <w:szCs w:val="24"/>
        </w:rPr>
      </w:pPr>
      <w:bookmarkStart w:id="34" w:name="__RefHeading___Toc26214_1479738501"/>
      <w:bookmarkEnd w:id="34"/>
      <w:r>
        <w:rPr>
          <w:rFonts w:ascii="Times New Roman" w:hAnsi="Times New Roman"/>
          <w:sz w:val="24"/>
          <w:szCs w:val="24"/>
        </w:rPr>
        <w:t xml:space="preserve">Таблица 5.4. Выходные характеристики биполярного транзистора в схеме включения с ОЭ </w:t>
      </w:r>
    </w:p>
    <w:tbl>
      <w:tblPr>
        <w:tblW w:w="9621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07"/>
        <w:gridCol w:w="1259"/>
        <w:gridCol w:w="666"/>
        <w:gridCol w:w="1147"/>
        <w:gridCol w:w="1417"/>
        <w:gridCol w:w="1359"/>
        <w:gridCol w:w="1539"/>
        <w:gridCol w:w="1627"/>
      </w:tblGrid>
      <w:tr>
        <w:trPr/>
        <w:tc>
          <w:tcPr>
            <w:tcW w:w="1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spacing w:before="0" w:after="140"/>
              <w:ind w:hanging="0" w:left="0" w:right="0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shd w:fill="FFFFFF" w:val="clear"/>
              </w:rPr>
              <w:t>U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shd w:fill="FFFFFF" w:val="clear"/>
              </w:rPr>
              <w:t>КЭ,В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0,2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607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spacing w:before="0" w:after="140"/>
              <w:ind w:hanging="0" w:left="0" w:right="0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shd w:fill="FFFFFF" w:val="clear"/>
              </w:rPr>
              <w:t>I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shd w:fill="FFFFFF" w:val="clear"/>
              </w:rPr>
              <w:t>к</w:t>
            </w:r>
            <w:r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shd w:fill="FFFFFF" w:val="clear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shd w:fill="FFFFFF" w:val="clear"/>
              </w:rPr>
              <w:t>мA</w:t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spacing w:before="0" w:after="140"/>
              <w:ind w:hanging="0" w:left="0" w:right="0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shd w:fill="FFFFFF" w:val="clear"/>
              </w:rPr>
              <w:t>I</w:t>
            </w:r>
            <w:r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shd w:fill="FFFFFF" w:val="clear"/>
                <w:vertAlign w:val="subscript"/>
              </w:rPr>
              <w:t>Б</w:t>
            </w:r>
            <w:r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shd w:fill="FFFFFF" w:val="clear"/>
              </w:rPr>
              <w:t xml:space="preserve">= </w:t>
            </w:r>
            <w:r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shd w:fill="FFFFFF" w:val="clear"/>
              </w:rPr>
              <w:t>100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shd w:fill="FFFFFF" w:val="clear"/>
              </w:rPr>
              <w:t>мкА</w:t>
            </w:r>
          </w:p>
        </w:tc>
        <w:tc>
          <w:tcPr>
            <w:tcW w:w="6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11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>1,79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2,66</w:t>
            </w:r>
          </w:p>
        </w:tc>
        <w:tc>
          <w:tcPr>
            <w:tcW w:w="15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2,91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3,13</w:t>
            </w:r>
          </w:p>
        </w:tc>
      </w:tr>
      <w:tr>
        <w:trPr/>
        <w:tc>
          <w:tcPr>
            <w:tcW w:w="607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spacing w:before="0" w:after="140"/>
              <w:ind w:hanging="0" w:left="0" w:right="0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shd w:fill="FFFFFF" w:val="clear"/>
              </w:rPr>
              <w:t>I</w:t>
            </w:r>
            <w:r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shd w:fill="FFFFFF" w:val="clear"/>
                <w:vertAlign w:val="subscript"/>
              </w:rPr>
              <w:t>Б</w:t>
            </w:r>
            <w:r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shd w:fill="FFFFFF" w:val="clear"/>
              </w:rPr>
              <w:t xml:space="preserve">= </w:t>
            </w:r>
            <w:r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shd w:fill="FFFFFF" w:val="clear"/>
              </w:rPr>
              <w:t>20</w:t>
            </w:r>
            <w:r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shd w:fill="FFFFFF" w:val="clear"/>
              </w:rPr>
              <w:t>0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shd w:fill="FFFFFF" w:val="clear"/>
              </w:rPr>
              <w:t>мкА</w:t>
            </w:r>
          </w:p>
        </w:tc>
        <w:tc>
          <w:tcPr>
            <w:tcW w:w="6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11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>4,81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>6,42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6,68</w:t>
            </w:r>
          </w:p>
        </w:tc>
        <w:tc>
          <w:tcPr>
            <w:tcW w:w="15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7,13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7,73</w:t>
            </w:r>
          </w:p>
        </w:tc>
      </w:tr>
    </w:tbl>
    <w:p>
      <w:pPr>
        <w:pStyle w:val="Normal"/>
        <w:bidi w:val="0"/>
        <w:ind w:hanging="0" w:left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829310</wp:posOffset>
            </wp:positionH>
            <wp:positionV relativeFrom="paragraph">
              <wp:posOffset>10160</wp:posOffset>
            </wp:positionV>
            <wp:extent cx="4461510" cy="3439795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510" cy="343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3"/>
        <w:numPr>
          <w:ilvl w:val="2"/>
          <w:numId w:val="1"/>
        </w:numPr>
        <w:ind w:hanging="0" w:left="0"/>
        <w:jc w:val="center"/>
        <w:rPr/>
      </w:pPr>
      <w:r>
        <w:rPr/>
      </w:r>
    </w:p>
    <w:p>
      <w:pPr>
        <w:pStyle w:val="Heading3"/>
        <w:numPr>
          <w:ilvl w:val="2"/>
          <w:numId w:val="1"/>
        </w:numPr>
        <w:ind w:hanging="0" w:left="0"/>
        <w:jc w:val="center"/>
        <w:rPr/>
      </w:pPr>
      <w:r>
        <w:rPr/>
      </w:r>
    </w:p>
    <w:p>
      <w:pPr>
        <w:pStyle w:val="Heading3"/>
        <w:numPr>
          <w:ilvl w:val="2"/>
          <w:numId w:val="1"/>
        </w:numPr>
        <w:ind w:hanging="0" w:left="0"/>
        <w:jc w:val="center"/>
        <w:rPr/>
      </w:pPr>
      <w:bookmarkStart w:id="35" w:name="__RefHeading___Toc26216_1479738501"/>
      <w:bookmarkEnd w:id="35"/>
      <w:r>
        <w:rPr/>
        <w:t>Рассчет h</w:t>
      </w:r>
      <w:r>
        <w:rPr>
          <w:vertAlign w:val="subscript"/>
        </w:rPr>
        <w:t xml:space="preserve">21e​ </w:t>
      </w:r>
      <w:r>
        <w:rPr>
          <w:position w:val="0"/>
          <w:sz w:val="28"/>
          <w:sz w:val="28"/>
          <w:vertAlign w:val="baseline"/>
        </w:rPr>
        <w:t xml:space="preserve"> для таблицы 5.4</w:t>
      </w:r>
    </w:p>
    <w:p>
      <w:pPr>
        <w:pStyle w:val="Normal"/>
        <w:bidi w:val="0"/>
        <w:spacing w:lineRule="auto" w:line="360"/>
        <w:jc w:val="center"/>
        <w:rPr>
          <w:b w:val="false"/>
          <w:bCs w:val="false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21e​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=I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K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​​​/I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B​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vertAlign w:val="baseline"/>
        </w:rPr>
        <w:t xml:space="preserve"> |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U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КЭ​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=const​</w:t>
      </w:r>
    </w:p>
    <w:p>
      <w:pPr>
        <w:pStyle w:val="Normal"/>
        <w:bidi w:val="0"/>
        <w:spacing w:lineRule="auto" w:line="360"/>
        <w:jc w:val="center"/>
        <w:rPr>
          <w:b w:val="false"/>
          <w:bCs w:val="false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I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B​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=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100</w:t>
      </w:r>
      <w:r>
        <w:rPr>
          <w:rFonts w:ascii="Times New Roman" w:hAnsi="Times New Roman"/>
          <w:b/>
          <w:bCs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mкA ,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активной области</w:t>
      </w:r>
    </w:p>
    <w:p>
      <w:pPr>
        <w:pStyle w:val="BodyText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U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vertAlign w:val="subscript"/>
        </w:rPr>
        <w:t>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​=1: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21e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 =2,66/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0,1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=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26.6</w:t>
      </w:r>
    </w:p>
    <w:p>
      <w:pPr>
        <w:pStyle w:val="BodyText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U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vertAlign w:val="subscript"/>
        </w:rPr>
        <w:t>k​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=3: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21e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 =2,91/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0,1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=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29,1</w:t>
      </w:r>
    </w:p>
    <w:p>
      <w:pPr>
        <w:pStyle w:val="BodyText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U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vertAlign w:val="subscript"/>
        </w:rPr>
        <w:t>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​=5: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21e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 =3,13/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0,1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=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31,3</w:t>
      </w:r>
    </w:p>
    <w:p>
      <w:pPr>
        <w:pStyle w:val="BodyText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I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B​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=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2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00</w:t>
      </w:r>
      <w:r>
        <w:rPr>
          <w:rFonts w:ascii="Times New Roman" w:hAnsi="Times New Roman"/>
          <w:b/>
          <w:bCs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mкA ,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активной области</w:t>
      </w:r>
    </w:p>
    <w:p>
      <w:pPr>
        <w:pStyle w:val="BodyText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U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vertAlign w:val="subscript"/>
        </w:rPr>
        <w:t>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​=1: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21e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 =6,68/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0,2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=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33,4</w:t>
      </w:r>
    </w:p>
    <w:p>
      <w:pPr>
        <w:pStyle w:val="BodyText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U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vertAlign w:val="subscript"/>
        </w:rPr>
        <w:t>k​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=3: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21e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 =7,13/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0,2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=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35,65</w:t>
      </w:r>
    </w:p>
    <w:p>
      <w:pPr>
        <w:pStyle w:val="BodyText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U</w:t>
      </w:r>
      <w:r>
        <w:rPr>
          <w:rFonts w:ascii="Times New Roman" w:hAnsi="Times New Roman"/>
          <w:b w:val="false"/>
          <w:bCs w:val="false"/>
          <w:sz w:val="28"/>
          <w:szCs w:val="28"/>
          <w:vertAlign w:val="subscript"/>
        </w:rPr>
        <w:t>k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​=5: </w:t>
      </w:r>
      <w:r>
        <w:rPr>
          <w:rFonts w:ascii="Times New Roman" w:hAnsi="Times New Roman"/>
          <w:b w:val="false"/>
          <w:bCs w:val="false"/>
          <w:sz w:val="28"/>
          <w:szCs w:val="28"/>
        </w:rPr>
        <w:t>h</w:t>
      </w:r>
      <w:r>
        <w:rPr>
          <w:rFonts w:ascii="Times New Roman" w:hAnsi="Times New Roman"/>
          <w:b w:val="false"/>
          <w:bCs w:val="false"/>
          <w:sz w:val="28"/>
          <w:szCs w:val="28"/>
          <w:vertAlign w:val="subscript"/>
        </w:rPr>
        <w:t>21e</w:t>
      </w:r>
      <w:r>
        <w:rPr>
          <w:rFonts w:ascii="Times New Roman" w:hAnsi="Times New Roman"/>
          <w:b w:val="false"/>
          <w:bCs w:val="false"/>
          <w:sz w:val="28"/>
          <w:szCs w:val="28"/>
        </w:rPr>
        <w:t> =7,73/</w:t>
      </w:r>
      <w:r>
        <w:rPr>
          <w:rFonts w:ascii="Times New Roman" w:hAnsi="Times New Roman"/>
          <w:b w:val="false"/>
          <w:bCs w:val="false"/>
          <w:sz w:val="28"/>
          <w:szCs w:val="28"/>
        </w:rPr>
        <w:t>0,2</w:t>
      </w:r>
      <w:r>
        <w:rPr>
          <w:rFonts w:ascii="Times New Roman" w:hAnsi="Times New Roman"/>
          <w:b w:val="false"/>
          <w:bCs w:val="false"/>
          <w:sz w:val="28"/>
          <w:szCs w:val="28"/>
        </w:rPr>
        <w:t>=</w:t>
      </w:r>
      <w:r>
        <w:rPr>
          <w:rFonts w:ascii="Times New Roman" w:hAnsi="Times New Roman"/>
          <w:b w:val="false"/>
          <w:bCs w:val="false"/>
          <w:sz w:val="28"/>
          <w:szCs w:val="28"/>
        </w:rPr>
        <w:t>38,65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3"/>
        <w:numPr>
          <w:ilvl w:val="2"/>
          <w:numId w:val="1"/>
        </w:numPr>
        <w:ind w:hanging="0" w:left="0"/>
        <w:jc w:val="center"/>
        <w:rPr/>
      </w:pPr>
      <w:bookmarkStart w:id="36" w:name="__RefHeading___Toc26218_1479738501"/>
      <w:bookmarkEnd w:id="36"/>
      <w:r>
        <w:rPr/>
        <w:t>Рассчет h</w:t>
      </w:r>
      <w:r>
        <w:rPr>
          <w:vertAlign w:val="subscript"/>
        </w:rPr>
        <w:t xml:space="preserve">22e​ </w:t>
      </w:r>
      <w:r>
        <w:rPr>
          <w:position w:val="0"/>
          <w:sz w:val="28"/>
          <w:sz w:val="28"/>
          <w:vertAlign w:val="baseline"/>
        </w:rPr>
        <w:t xml:space="preserve"> для таблицы 5.4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22e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= ΔI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 xml:space="preserve">К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vertAlign w:val="baseline"/>
        </w:rPr>
        <w:t xml:space="preserve">/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ΔU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КЭ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| ΔI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bscript"/>
        </w:rPr>
        <w:t>B​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vertAlign w:val="baseline"/>
        </w:rPr>
        <w:t>=const​</w:t>
      </w:r>
    </w:p>
    <w:p>
      <w:pPr>
        <w:pStyle w:val="Heading3"/>
        <w:numPr>
          <w:ilvl w:val="2"/>
          <w:numId w:val="1"/>
        </w:numPr>
        <w:ind w:hanging="0" w:left="0"/>
        <w:rPr/>
      </w:pPr>
      <w:bookmarkStart w:id="37" w:name="__RefHeading___Toc26220_1479738501"/>
      <w:bookmarkEnd w:id="37"/>
      <w:r>
        <w:rPr>
          <w:rStyle w:val="Strong"/>
          <w:rFonts w:ascii="Times New Roman" w:hAnsi="Times New Roman"/>
          <w:b/>
          <w:bCs/>
        </w:rPr>
        <w:t>для Iᵦ = 5 мА</w:t>
      </w:r>
    </w:p>
    <w:p>
      <w:pPr>
        <w:pStyle w:val="BodyText"/>
        <w:spacing w:lineRule="auto" w:line="360"/>
        <w:ind w:hanging="0" w:left="0" w:right="0"/>
        <w:rPr/>
      </w:pPr>
      <w:bookmarkStart w:id="38" w:name="__RefHeading___Toc26210_1479738501_Copy6"/>
      <w:bookmarkEnd w:id="38"/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Интервал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>к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Э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0...0.2 В: </w:t>
        <w:tab/>
        <w:tab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ΔI = 1.14 мА , 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vertAlign w:val="subscript"/>
        </w:rPr>
        <w:t>22e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 1.14 / 0.2 =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5.7 мА/В = 0.0057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 С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им</w:t>
      </w:r>
    </w:p>
    <w:p>
      <w:pPr>
        <w:pStyle w:val="BodyText"/>
        <w:spacing w:lineRule="auto" w:line="360"/>
        <w:ind w:hanging="0" w:left="0" w:right="0"/>
        <w:rPr/>
      </w:pPr>
      <w:bookmarkStart w:id="39" w:name="__RefHeading___Toc26210_1479738501_Copy7"/>
      <w:bookmarkEnd w:id="39"/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Интервал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кЭ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0.2...0.5 В:</w:t>
        <w:tab/>
        <w:tab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ΔI = 0.65 мА,h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vertAlign w:val="subscript"/>
        </w:rPr>
        <w:t>22e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=0.65 / 0.3=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2.1667мА/В= 0.002167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 С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им</w:t>
      </w:r>
    </w:p>
    <w:p>
      <w:pPr>
        <w:pStyle w:val="BodyText"/>
        <w:spacing w:lineRule="auto" w:line="360"/>
        <w:ind w:hanging="0" w:left="0" w:right="0"/>
        <w:rPr/>
      </w:pPr>
      <w:bookmarkStart w:id="40" w:name="__RefHeading___Toc26210_1479738501_Copy8"/>
      <w:bookmarkEnd w:id="40"/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Интервал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кЭ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0.5...1 В: </w:t>
        <w:tab/>
        <w:tab/>
        <w:t xml:space="preserve">ΔI = 0.87 мА ,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vertAlign w:val="subscript"/>
        </w:rPr>
        <w:t>22e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 0.87 / 0.5 =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1.74 мА/В = 0.00174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 С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им</w:t>
      </w:r>
    </w:p>
    <w:p>
      <w:pPr>
        <w:pStyle w:val="BodyText"/>
        <w:spacing w:lineRule="auto" w:line="360"/>
        <w:ind w:hanging="0" w:left="0" w:right="0"/>
        <w:rPr/>
      </w:pPr>
      <w:bookmarkStart w:id="41" w:name="__RefHeading___Toc26210_1479738501_Copy9"/>
      <w:bookmarkEnd w:id="41"/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Интервал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кЭ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1...3 В: </w:t>
        <w:tab/>
        <w:tab/>
        <w:t xml:space="preserve">ΔI = 0.25 мА ,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vertAlign w:val="subscript"/>
        </w:rPr>
        <w:t>22e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 0.25 / 2 =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0.125 мА/В = 0.000125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 С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им</w:t>
      </w:r>
    </w:p>
    <w:p>
      <w:pPr>
        <w:pStyle w:val="BodyText"/>
        <w:spacing w:lineRule="auto" w:line="360"/>
        <w:ind w:hanging="0" w:left="0" w:right="0"/>
        <w:rPr/>
      </w:pPr>
      <w:bookmarkStart w:id="42" w:name="__RefHeading___Toc26210_1479738501_Copya"/>
      <w:bookmarkEnd w:id="42"/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Интервал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кЭ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3...5 В: </w:t>
        <w:tab/>
        <w:tab/>
        <w:t xml:space="preserve">ΔI = 0.22 мА ,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vertAlign w:val="subscript"/>
        </w:rPr>
        <w:t>22e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 0.22 / 2 =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0.11 мА/В = 0.00011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 С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им</w:t>
      </w:r>
    </w:p>
    <w:p>
      <w:pPr>
        <w:pStyle w:val="BodyText"/>
        <w:spacing w:lineRule="auto" w:line="360"/>
        <w:ind w:hanging="0" w:left="0" w:right="0"/>
        <w:rPr>
          <w:rStyle w:val="Strong"/>
          <w:rFonts w:ascii="Times New Roman" w:hAnsi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Heading3"/>
        <w:numPr>
          <w:ilvl w:val="2"/>
          <w:numId w:val="1"/>
        </w:numPr>
        <w:ind w:hanging="0" w:left="0"/>
        <w:rPr/>
      </w:pPr>
      <w:bookmarkStart w:id="43" w:name="__RefHeading___Toc26222_1479738501"/>
      <w:bookmarkEnd w:id="43"/>
      <w:r>
        <w:rPr>
          <w:rStyle w:val="Strong"/>
          <w:rFonts w:ascii="Times New Roman" w:hAnsi="Times New Roman"/>
          <w:b/>
          <w:bCs/>
        </w:rPr>
        <w:t>для Iᵦ = 10 мА</w:t>
      </w:r>
    </w:p>
    <w:p>
      <w:pPr>
        <w:pStyle w:val="BodyText"/>
        <w:spacing w:lineRule="auto" w:line="360"/>
        <w:ind w:hanging="0" w:left="0" w:right="0"/>
        <w:rPr/>
      </w:pPr>
      <w:bookmarkStart w:id="44" w:name="__RefHeading___Toc26210_1479738501_Copyb"/>
      <w:bookmarkEnd w:id="44"/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Интервал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кЭ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0...0.2 В: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  <w:tab/>
        <w:tab/>
        <w:t xml:space="preserve">ΔI = </w:t>
      </w:r>
      <w:r>
        <w:rPr>
          <w:rStyle w:val="Strong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4.81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</w:t>
      </w:r>
      <w:r>
        <w:rPr>
          <w:rStyle w:val="Strong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,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vertAlign w:val="subscript"/>
        </w:rPr>
        <w:t>22e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=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4.81 / 0.2 =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24.05 мА/В = 0.02405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 С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им</w:t>
      </w:r>
    </w:p>
    <w:p>
      <w:pPr>
        <w:pStyle w:val="BodyText"/>
        <w:spacing w:lineRule="auto" w:line="360"/>
        <w:ind w:hanging="0" w:left="0" w:right="0"/>
        <w:rPr/>
      </w:pPr>
      <w:bookmarkStart w:id="45" w:name="__RefHeading___Toc26210_1479738501_Copyc"/>
      <w:bookmarkEnd w:id="45"/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Интервал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кЭ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0.2...0.5 В:</w:t>
        <w:tab/>
        <w:tab/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ΔI=</w:t>
      </w:r>
      <w:r>
        <w:rPr>
          <w:rStyle w:val="Strong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1.61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</w:t>
      </w:r>
      <w:r>
        <w:rPr>
          <w:rStyle w:val="Strong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,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vertAlign w:val="subscript"/>
        </w:rPr>
        <w:t>22e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1.61 / 0.3=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5.3667 мА/В =0.005367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 С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им</w:t>
      </w:r>
    </w:p>
    <w:p>
      <w:pPr>
        <w:pStyle w:val="BodyText"/>
        <w:spacing w:lineRule="auto" w:line="360"/>
        <w:ind w:hanging="0" w:left="0" w:right="0"/>
        <w:rPr/>
      </w:pPr>
      <w:bookmarkStart w:id="46" w:name="__RefHeading___Toc26210_1479738501_Copyd"/>
      <w:bookmarkEnd w:id="46"/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Интервал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кЭ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0.5...1 В: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  <w:tab/>
        <w:tab/>
        <w:t xml:space="preserve">ΔI = </w:t>
      </w:r>
      <w:r>
        <w:rPr>
          <w:rStyle w:val="Strong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0.26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мА </w:t>
      </w:r>
      <w:r>
        <w:rPr>
          <w:rStyle w:val="Strong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,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vertAlign w:val="subscript"/>
        </w:rPr>
        <w:t>22e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=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0.26 / 0.5 =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0.52 мА/В = 0.00052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 С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им</w:t>
      </w:r>
    </w:p>
    <w:p>
      <w:pPr>
        <w:pStyle w:val="BodyText"/>
        <w:spacing w:lineRule="auto" w:line="360"/>
        <w:ind w:hanging="0" w:left="0" w:right="0"/>
        <w:rPr/>
      </w:pPr>
      <w:bookmarkStart w:id="47" w:name="__RefHeading___Toc26210_1479738501_Copye"/>
      <w:bookmarkEnd w:id="47"/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Интервал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кЭ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1...3 В: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  <w:tab/>
        <w:tab/>
        <w:t xml:space="preserve">ΔI = </w:t>
      </w:r>
      <w:r>
        <w:rPr>
          <w:rStyle w:val="Strong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0.45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мА </w:t>
      </w:r>
      <w:r>
        <w:rPr>
          <w:rStyle w:val="Strong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,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vertAlign w:val="subscript"/>
        </w:rPr>
        <w:t>22e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=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0.45 / 2 =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0.225 мА/В = 0.000225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 С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им</w:t>
      </w:r>
    </w:p>
    <w:p>
      <w:pPr>
        <w:pStyle w:val="BodyText"/>
        <w:spacing w:lineRule="auto" w:line="360"/>
        <w:ind w:hanging="0" w:left="0" w:right="0"/>
        <w:rPr/>
      </w:pPr>
      <w:bookmarkStart w:id="48" w:name="__RefHeading___Toc26210_1479738501_Copyf"/>
      <w:bookmarkEnd w:id="48"/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Интервал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U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  <w:vertAlign w:val="subscript"/>
        </w:rPr>
        <w:t xml:space="preserve">кЭ </w:t>
      </w:r>
      <w:r>
        <w:rPr>
          <w:rStyle w:val="Strong"/>
          <w:rFonts w:ascii="Times New Roman" w:hAnsi="Times New Roman"/>
          <w:b/>
          <w:bCs/>
          <w:i/>
          <w:iCs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FF" w:val="clear"/>
          <w:vertAlign w:val="baseline"/>
        </w:rPr>
        <w:t xml:space="preserve">=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3...5 В: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  <w:tab/>
        <w:tab/>
        <w:t xml:space="preserve">ΔI = </w:t>
      </w:r>
      <w:r>
        <w:rPr>
          <w:rStyle w:val="Strong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0.60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мА </w:t>
      </w:r>
      <w:r>
        <w:rPr>
          <w:rStyle w:val="Strong"/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,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vertAlign w:val="subscript"/>
        </w:rPr>
        <w:t>22e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=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0.60 / 2 =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0.30 мА/В = 0.00030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 С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им</w:t>
      </w:r>
    </w:p>
    <w:p>
      <w:pPr>
        <w:pStyle w:val="Heading1"/>
        <w:numPr>
          <w:ilvl w:val="0"/>
          <w:numId w:val="0"/>
        </w:numPr>
        <w:ind w:hanging="0" w:left="0"/>
        <w:jc w:val="center"/>
        <w:rPr/>
      </w:pPr>
      <w:bookmarkStart w:id="49" w:name="__RefHeading___Toc26224_1479738501"/>
      <w:bookmarkEnd w:id="49"/>
      <w:r>
        <w:rPr>
          <w:rStyle w:val="Strong"/>
          <w:b/>
          <w:bCs/>
        </w:rPr>
        <w:t>Выводы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94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 ходе работы были экспериментально исследованы входные и выходные характеристики биполярного транзистора при различных значениях напряжения UКЭ и токов базы IB​. На основе полученных данных были рассчитаны малосигнальные h-параметры транзистора: h11e​, h12e и частично h22e​.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94" w:left="0" w:right="0"/>
        <w:jc w:val="lef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Входной параметр h11e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(входное сопротивление транзистора) показал, что сопротивление базы в малосигнальном режиме невелико и уменьшается с ростом тока базы. Это подтверждает, что вход транзистора ведёт себя как p–n переход, сопротивление которого падает с увеличением прямого смещения.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94" w:left="0" w:right="0"/>
        <w:jc w:val="lef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94" w:left="0" w:right="0"/>
        <w:jc w:val="lef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Коэффициент передачи тока h21e​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 имеет значительные значения, что подтверждает рабочую способность транзистора усиливать ток. Для больших токов базы значение h21e​ становится более стабильным, что характерно для активного режима работы транзистора.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94" w:left="0" w:right="0"/>
        <w:jc w:val="lef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Выходной параметр h22e​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 (выходная проводимость) остаётся маленьким, что указывает на то, что ток коллектора слабо зависит от напряжения UКЭ​ в активной области. Это подтверждает хорошую вертикальность выходных характеристик.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94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При обработке данных стало видно, что наиболее корректные значения h-параметров получаются при использовании центральных участков характеристик, где зависимости наиболее линейны. На краевых участках графиков (низкие и высокие напряжения) наблюдаются искажения из-за переходных процессов и насыщения.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94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Все рассчитанные h-параметры соответствуют типичным для маломощных кремниевых транзисторов значениям, что подтверждает правильность измерений и качество эксперимента.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94" w:left="0" w:right="0"/>
        <w:jc w:val="left"/>
        <w:rPr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3"/>
        <w:numPr>
          <w:ilvl w:val="2"/>
          <w:numId w:val="1"/>
        </w:numPr>
        <w:ind w:hanging="0" w:left="0"/>
        <w:jc w:val="center"/>
        <w:rPr/>
      </w:pPr>
      <w:bookmarkStart w:id="50" w:name="__RefHeading___Toc26226_1479738501"/>
      <w:bookmarkEnd w:id="50"/>
      <w:r>
        <w:rPr/>
        <w:t xml:space="preserve"> </w:t>
      </w:r>
      <w:r>
        <w:rPr/>
        <w:t>Библиография :</w:t>
      </w:r>
    </w:p>
    <w:p>
      <w:pPr>
        <w:pStyle w:val="BodyText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center"/>
        <w:rPr>
          <w:rFonts w:ascii="Helvetica" w:hAnsi="Helvetica"/>
          <w:color w:val="auto"/>
          <w:sz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4"/>
          <w:szCs w:val="40"/>
        </w:rPr>
        <w:tab/>
      </w:r>
    </w:p>
    <w:p>
      <w:pPr>
        <w:pStyle w:val="BodyText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0" w:left="0" w:right="0"/>
        <w:jc w:val="left"/>
        <w:rPr>
          <w:rFonts w:ascii="Times New Roman" w:hAnsi="Times New Roman"/>
          <w:b/>
          <w:bCs/>
          <w:sz w:val="24"/>
          <w:szCs w:val="40"/>
        </w:rPr>
      </w:pPr>
      <w:r>
        <w:rPr>
          <w:rFonts w:ascii="Times New Roman" w:hAnsi="Times New Roman"/>
          <w:b/>
          <w:bCs/>
          <w:szCs w:val="40"/>
        </w:rPr>
        <w:t>1. Методические указания к лабораторной работе №6 по дисциплине «CDE». Технический университет Молдовы, Кишинев, 2025.</w:t>
      </w:r>
    </w:p>
    <w:p>
      <w:pPr>
        <w:pStyle w:val="BodyText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spacing w:before="0" w:after="140"/>
        <w:ind w:hanging="0" w:left="0" w:right="0"/>
        <w:jc w:val="left"/>
        <w:rPr/>
      </w:pPr>
      <w:r>
        <w:rPr>
          <w:rStyle w:val="Strong"/>
          <w:rFonts w:ascii="Times New Roman" w:hAnsi="Times New Roman"/>
          <w:b/>
          <w:bCs/>
          <w:szCs w:val="40"/>
        </w:rPr>
        <w:t xml:space="preserve">2. </w:t>
      </w:r>
      <w:r>
        <w:rPr>
          <w:rStyle w:val="Strong"/>
          <w:b/>
          <w:bCs/>
        </w:rPr>
        <w:t>Гершунский Б.С. Основы электроники и микроэлектроники: Учебник. 4-е издание, перераб. и доп. – Киев: Выща шк., 1989.</w:t>
      </w:r>
    </w:p>
    <w:p>
      <w:pPr>
        <w:pStyle w:val="BodyText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spacing w:before="0" w:after="140"/>
        <w:ind w:hanging="0" w:left="0" w:right="0"/>
        <w:jc w:val="left"/>
        <w:rPr/>
      </w:pPr>
      <w:r>
        <w:rPr>
          <w:rStyle w:val="Strong"/>
          <w:b/>
          <w:bCs/>
        </w:rPr>
        <w:t>3. Полупроводниковые приборы: транзисторы. Справочник. Под редакцией Н. Н. Горюнова . Издание второе переработаное . Москва Энергоатомиздат 1985.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NewRoman">
    <w:altName w:val="Bold"/>
    <w:charset w:val="01"/>
    <w:family w:val="auto"/>
    <w:pitch w:val="default"/>
  </w:font>
  <w:font w:name="TimesNewRoman">
    <w:altName w:val="Bold"/>
    <w:charset w:val="01"/>
    <w:family w:val="roman"/>
    <w:pitch w:val="variable"/>
  </w:font>
  <w:font w:name="TimesNewRoman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imes-Roman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M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MD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09"/>
        <w:tab w:val="right" w:pos="9355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09"/>
        <w:tab w:val="right" w:pos="9071" w:leader="dot"/>
      </w:tabs>
      <w:ind w:hanging="0" w:left="567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https://fcim.utm.md/departamentele-fcim/departamentul-ingineria-software-si-automatica/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1219</TotalTime>
  <Application>LibreOffice/25.8.1.1$MacOSX_X86_64 LibreOffice_project/54047653041915e595ad4e45cccea684809c77b5</Application>
  <AppVersion>15.0000</AppVersion>
  <Pages>14</Pages>
  <Words>1844</Words>
  <Characters>10760</Characters>
  <CharactersWithSpaces>14065</CharactersWithSpaces>
  <Paragraphs>292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2025-11-18T20:53:51Z</dcterms:created>
  <dc:creator/>
  <dc:description/>
  <dc:language>ru-MD</dc:language>
  <cp:lastModifiedBy/>
  <cp:lastPrinted>2025-11-22T21:19:32Z</cp:lastPrinted>
  <dcterms:modified xsi:type="dcterms:W3CDTF">2025-11-22T21:18:00Z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