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media/image1.jpeg" ContentType="image/jpeg"/>
  <Override PartName="/word/media/image3.png" ContentType="image/png"/>
  <Override PartName="/word/media/image4.png" ContentType="image/png"/>
  <Override PartName="/word/media/image6.png" ContentType="image/png"/>
  <Override PartName="/word/media/image2.jpeg" ContentType="image/jpeg"/>
  <Override PartName="/word/media/image7.png" ContentType="image/png"/>
  <Override PartName="/word/media/image9.jpeg" ContentType="image/jpeg"/>
  <Override PartName="/word/media/image10.jpeg" ContentType="image/jpeg"/>
  <Override PartName="/word/media/image5.png" ContentType="image/png"/>
  <Override PartName="/word/media/image8.png" ContentType="image/png"/>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b/>
          <w:bCs/>
        </w:rPr>
      </w:pPr>
      <w:r>
        <w:drawing>
          <wp:anchor behindDoc="0" distT="0" distB="0" distL="0" distR="0" simplePos="0" locked="0" layoutInCell="0" allowOverlap="1" relativeHeight="2">
            <wp:simplePos x="0" y="0"/>
            <wp:positionH relativeFrom="column">
              <wp:posOffset>-347980</wp:posOffset>
            </wp:positionH>
            <wp:positionV relativeFrom="paragraph">
              <wp:posOffset>-85725</wp:posOffset>
            </wp:positionV>
            <wp:extent cx="1283335" cy="6565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283335" cy="656590"/>
                    </a:xfrm>
                    <a:prstGeom prst="rect">
                      <a:avLst/>
                    </a:prstGeom>
                    <a:noFill/>
                  </pic:spPr>
                </pic:pic>
              </a:graphicData>
            </a:graphic>
          </wp:anchor>
        </w:drawing>
        <w:drawing>
          <wp:anchor behindDoc="0" distT="0" distB="0" distL="0" distR="0" simplePos="0" locked="0" layoutInCell="0" allowOverlap="1" relativeHeight="3">
            <wp:simplePos x="0" y="0"/>
            <wp:positionH relativeFrom="column">
              <wp:posOffset>-276225</wp:posOffset>
            </wp:positionH>
            <wp:positionV relativeFrom="paragraph">
              <wp:posOffset>570230</wp:posOffset>
            </wp:positionV>
            <wp:extent cx="1211580" cy="3683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211580" cy="368300"/>
                    </a:xfrm>
                    <a:prstGeom prst="rect">
                      <a:avLst/>
                    </a:prstGeom>
                    <a:noFill/>
                  </pic:spPr>
                </pic:pic>
              </a:graphicData>
            </a:graphic>
          </wp:anchor>
        </w:drawing>
      </w:r>
      <w:r>
        <w:rPr>
          <w:rFonts w:ascii="Times New Roman" w:hAnsi="Times New Roman"/>
          <w:b/>
          <w:bCs/>
        </w:rPr>
        <w:t>Минестерство образования республики Молдовы</w:t>
      </w:r>
    </w:p>
    <w:p>
      <w:pPr>
        <w:pStyle w:val="Normal"/>
        <w:bidi w:val="0"/>
        <w:jc w:val="center"/>
        <w:rPr>
          <w:rFonts w:ascii="Times New Roman" w:hAnsi="Times New Roman"/>
          <w:b/>
          <w:bCs/>
          <w:sz w:val="20"/>
          <w:szCs w:val="20"/>
        </w:rPr>
      </w:pPr>
      <w:r>
        <w:rPr>
          <w:rFonts w:ascii="Times New Roman" w:hAnsi="Times New Roman"/>
          <w:b/>
          <w:bCs/>
          <w:sz w:val="20"/>
          <w:szCs w:val="20"/>
        </w:rPr>
        <w:t>Технический университет Молдовы</w:t>
      </w:r>
    </w:p>
    <w:p>
      <w:pPr>
        <w:pStyle w:val="Normal"/>
        <w:bidi w:val="0"/>
        <w:jc w:val="center"/>
        <w:rPr>
          <w:rFonts w:ascii="Times New Roman" w:hAnsi="Times New Roman"/>
          <w:b/>
          <w:bCs/>
          <w:sz w:val="20"/>
          <w:szCs w:val="20"/>
        </w:rPr>
      </w:pPr>
      <w:r>
        <w:rPr>
          <w:rFonts w:ascii="Times New Roman" w:hAnsi="Times New Roman"/>
          <w:b/>
          <w:bCs/>
          <w:sz w:val="20"/>
          <w:szCs w:val="20"/>
        </w:rPr>
        <w:t>Факультет комьпьютеры,информатика,</w:t>
      </w:r>
    </w:p>
    <w:p>
      <w:pPr>
        <w:pStyle w:val="Normal"/>
        <w:bidi w:val="0"/>
        <w:jc w:val="center"/>
        <w:rPr>
          <w:rFonts w:ascii="Times New Roman" w:hAnsi="Times New Roman"/>
          <w:b/>
          <w:bCs/>
          <w:sz w:val="20"/>
          <w:szCs w:val="20"/>
        </w:rPr>
      </w:pPr>
      <w:r>
        <w:rPr>
          <w:rFonts w:ascii="Times New Roman" w:hAnsi="Times New Roman"/>
          <w:b/>
          <w:bCs/>
          <w:sz w:val="20"/>
          <w:szCs w:val="20"/>
        </w:rPr>
        <w:t>микроэлектроника</w:t>
      </w:r>
    </w:p>
    <w:p>
      <w:pPr>
        <w:pStyle w:val="Normal"/>
        <w:bidi w:val="0"/>
        <w:jc w:val="center"/>
        <w:rPr>
          <w:rFonts w:ascii="Times New Roman" w:hAnsi="Times New Roman"/>
          <w:sz w:val="20"/>
          <w:szCs w:val="20"/>
        </w:rPr>
      </w:pPr>
      <w:r>
        <w:rPr>
          <w:rFonts w:ascii="Times New Roman" w:hAnsi="Times New Roman"/>
          <w:b/>
          <w:bCs/>
          <w:sz w:val="20"/>
          <w:szCs w:val="20"/>
        </w:rPr>
        <w:t xml:space="preserve">Департамент </w:t>
      </w:r>
      <w:hyperlink r:id="rId4">
        <w:r>
          <w:rPr>
            <w:rStyle w:val="Hyperlink"/>
            <w:rFonts w:ascii="Times New Roman" w:hAnsi="Times New Roman"/>
            <w:b/>
            <w:bCs/>
            <w:i w:val="false"/>
            <w:caps w:val="false"/>
            <w:smallCaps w:val="false"/>
            <w:strike w:val="false"/>
            <w:dstrike w:val="false"/>
            <w:color w:val="000000"/>
            <w:spacing w:val="0"/>
            <w:sz w:val="20"/>
            <w:szCs w:val="20"/>
            <w:u w:val="none"/>
            <w:effect w:val="none"/>
          </w:rPr>
          <w:t>программного обеспечения и автоматизации</w:t>
        </w:r>
      </w:hyperlink>
    </w:p>
    <w:p>
      <w:pPr>
        <w:pStyle w:val="Normal"/>
        <w:bidi w:val="0"/>
        <w:jc w:val="center"/>
        <w:rPr>
          <w:rFonts w:ascii="Times New Roman" w:hAnsi="Times New Roman"/>
          <w:b/>
          <w:bCs/>
          <w:sz w:val="20"/>
          <w:szCs w:val="20"/>
        </w:rPr>
      </w:pPr>
      <w:r>
        <w:rPr>
          <w:rFonts w:ascii="Times New Roman" w:hAnsi="Times New Roman"/>
          <w:b/>
          <w:bCs/>
          <w:sz w:val="20"/>
          <w:szCs w:val="20"/>
        </w:rPr>
      </w:r>
    </w:p>
    <w:p>
      <w:pPr>
        <w:pStyle w:val="Normal"/>
        <w:bidi w:val="0"/>
        <w:jc w:val="center"/>
        <w:rPr>
          <w:rFonts w:ascii="Times New Roman" w:hAnsi="Times New Roman"/>
          <w:b/>
          <w:bCs/>
          <w:sz w:val="20"/>
          <w:szCs w:val="20"/>
        </w:rPr>
      </w:pPr>
      <w:r>
        <w:rPr>
          <w:rFonts w:ascii="Times New Roman" w:hAnsi="Times New Roman"/>
          <w:b/>
          <w:bCs/>
          <w:sz w:val="20"/>
          <w:szCs w:val="20"/>
        </w:rPr>
      </w:r>
    </w:p>
    <w:p>
      <w:pPr>
        <w:pStyle w:val="Normal"/>
        <w:bidi w:val="0"/>
        <w:jc w:val="center"/>
        <w:rPr>
          <w:rFonts w:ascii="Times New Roman" w:hAnsi="Times New Roman"/>
          <w:b/>
          <w:bCs/>
          <w:sz w:val="20"/>
          <w:szCs w:val="20"/>
        </w:rPr>
      </w:pPr>
      <w:r>
        <w:rPr>
          <w:rFonts w:ascii="Times New Roman" w:hAnsi="Times New Roman"/>
          <w:b/>
          <w:bCs/>
          <w:sz w:val="20"/>
          <w:szCs w:val="20"/>
        </w:rPr>
      </w:r>
    </w:p>
    <w:p>
      <w:pPr>
        <w:pStyle w:val="Normal"/>
        <w:bidi w:val="0"/>
        <w:jc w:val="center"/>
        <w:rPr>
          <w:rFonts w:ascii="Times New Roman" w:hAnsi="Times New Roman"/>
          <w:b/>
          <w:bCs/>
          <w:sz w:val="20"/>
          <w:szCs w:val="20"/>
        </w:rPr>
      </w:pPr>
      <w:r>
        <w:rPr>
          <w:rFonts w:ascii="Times New Roman" w:hAnsi="Times New Roman"/>
          <w:b/>
          <w:bCs/>
          <w:sz w:val="20"/>
          <w:szCs w:val="20"/>
        </w:rPr>
      </w:r>
    </w:p>
    <w:p>
      <w:pPr>
        <w:pStyle w:val="Normal"/>
        <w:bidi w:val="0"/>
        <w:jc w:val="center"/>
        <w:rPr>
          <w:rFonts w:ascii="Times New Roman" w:hAnsi="Times New Roman"/>
          <w:b/>
          <w:bCs/>
          <w:sz w:val="20"/>
          <w:szCs w:val="20"/>
        </w:rPr>
      </w:pPr>
      <w:r>
        <w:rPr>
          <w:rFonts w:ascii="Times New Roman" w:hAnsi="Times New Roman"/>
          <w:b/>
          <w:bCs/>
          <w:sz w:val="20"/>
          <w:szCs w:val="20"/>
        </w:rPr>
      </w:r>
    </w:p>
    <w:p>
      <w:pPr>
        <w:pStyle w:val="Normal"/>
        <w:bidi w:val="0"/>
        <w:jc w:val="center"/>
        <w:rPr>
          <w:rFonts w:ascii="Times New Roman" w:hAnsi="Times New Roman"/>
          <w:b/>
          <w:bCs/>
          <w:sz w:val="20"/>
          <w:szCs w:val="20"/>
        </w:rPr>
      </w:pPr>
      <w:r>
        <w:rPr>
          <w:rFonts w:ascii="Times New Roman" w:hAnsi="Times New Roman"/>
          <w:b/>
          <w:bCs/>
          <w:sz w:val="20"/>
          <w:szCs w:val="20"/>
        </w:rPr>
      </w:r>
    </w:p>
    <w:p>
      <w:pPr>
        <w:pStyle w:val="Normal"/>
        <w:bidi w:val="0"/>
        <w:jc w:val="center"/>
        <w:rPr>
          <w:rFonts w:ascii="Times New Roman" w:hAnsi="Times New Roman"/>
          <w:b/>
          <w:bCs/>
          <w:sz w:val="20"/>
          <w:szCs w:val="20"/>
        </w:rPr>
      </w:pPr>
      <w:r>
        <w:rPr>
          <w:rFonts w:ascii="Times New Roman" w:hAnsi="Times New Roman"/>
          <w:b/>
          <w:bCs/>
          <w:sz w:val="20"/>
          <w:szCs w:val="20"/>
        </w:rPr>
      </w:r>
    </w:p>
    <w:p>
      <w:pPr>
        <w:pStyle w:val="Normal"/>
        <w:bidi w:val="0"/>
        <w:jc w:val="center"/>
        <w:rPr>
          <w:rFonts w:ascii="Times New Roman" w:hAnsi="Times New Roman"/>
          <w:b/>
          <w:bCs/>
          <w:sz w:val="20"/>
          <w:szCs w:val="20"/>
        </w:rPr>
      </w:pPr>
      <w:r>
        <w:rPr>
          <w:rFonts w:ascii="Times New Roman" w:hAnsi="Times New Roman"/>
          <w:b/>
          <w:bCs/>
          <w:sz w:val="20"/>
          <w:szCs w:val="20"/>
        </w:rPr>
      </w:r>
    </w:p>
    <w:p>
      <w:pPr>
        <w:pStyle w:val="Normal"/>
        <w:bidi w:val="0"/>
        <w:jc w:val="center"/>
        <w:rPr>
          <w:rFonts w:ascii="Times New Roman" w:hAnsi="Times New Roman"/>
          <w:b/>
          <w:bCs/>
          <w:sz w:val="20"/>
          <w:szCs w:val="20"/>
        </w:rPr>
      </w:pPr>
      <w:r>
        <w:rPr>
          <w:rFonts w:ascii="Times New Roman" w:hAnsi="Times New Roman"/>
          <w:b/>
          <w:bCs/>
          <w:sz w:val="20"/>
          <w:szCs w:val="20"/>
        </w:rPr>
      </w:r>
    </w:p>
    <w:p>
      <w:pPr>
        <w:pStyle w:val="Normal"/>
        <w:bidi w:val="0"/>
        <w:jc w:val="center"/>
        <w:rPr>
          <w:rFonts w:ascii="Times New Roman" w:hAnsi="Times New Roman"/>
          <w:b/>
          <w:bCs/>
          <w:sz w:val="20"/>
          <w:szCs w:val="20"/>
        </w:rPr>
      </w:pPr>
      <w:r>
        <w:rPr>
          <w:rFonts w:ascii="Times New Roman" w:hAnsi="Times New Roman"/>
          <w:b/>
          <w:bCs/>
          <w:sz w:val="20"/>
          <w:szCs w:val="20"/>
        </w:rPr>
      </w:r>
    </w:p>
    <w:p>
      <w:pPr>
        <w:pStyle w:val="Normal"/>
        <w:bidi w:val="0"/>
        <w:jc w:val="center"/>
        <w:rPr>
          <w:rFonts w:ascii="Times New Roman" w:hAnsi="Times New Roman"/>
          <w:b/>
          <w:bCs/>
          <w:sz w:val="42"/>
          <w:szCs w:val="42"/>
        </w:rPr>
      </w:pPr>
      <w:r>
        <w:rPr>
          <w:rFonts w:ascii="Times New Roman" w:hAnsi="Times New Roman"/>
          <w:b/>
          <w:bCs/>
          <w:sz w:val="42"/>
          <w:szCs w:val="42"/>
        </w:rPr>
        <w:t>Отчет</w:t>
      </w:r>
    </w:p>
    <w:p>
      <w:pPr>
        <w:pStyle w:val="Normal"/>
        <w:bidi w:val="0"/>
        <w:jc w:val="center"/>
        <w:rPr>
          <w:rFonts w:ascii="Times New Roman" w:hAnsi="Times New Roman"/>
          <w:b w:val="false"/>
          <w:bCs w:val="false"/>
          <w:sz w:val="24"/>
          <w:szCs w:val="24"/>
        </w:rPr>
      </w:pPr>
      <w:r>
        <w:rPr>
          <w:rFonts w:ascii="Times New Roman" w:hAnsi="Times New Roman"/>
          <w:b w:val="false"/>
          <w:bCs w:val="false"/>
          <w:sz w:val="24"/>
          <w:szCs w:val="24"/>
        </w:rPr>
        <w:t xml:space="preserve">Лабораторная работа </w:t>
      </w:r>
      <w:r>
        <w:rPr>
          <w:rFonts w:ascii="Times New Roman" w:hAnsi="Times New Roman"/>
          <w:b/>
          <w:bCs/>
          <w:sz w:val="24"/>
          <w:szCs w:val="24"/>
        </w:rPr>
        <w:t>№2</w:t>
      </w:r>
    </w:p>
    <w:p>
      <w:pPr>
        <w:pStyle w:val="Normal"/>
        <w:bidi w:val="0"/>
        <w:jc w:val="center"/>
        <w:rPr>
          <w:rFonts w:ascii="Times New Roman" w:hAnsi="Times New Roman"/>
          <w:b w:val="false"/>
          <w:bCs w:val="false"/>
          <w:sz w:val="24"/>
          <w:szCs w:val="24"/>
        </w:rPr>
      </w:pPr>
      <w:r>
        <w:rPr>
          <w:rFonts w:ascii="Times New Roman" w:hAnsi="Times New Roman"/>
          <w:b w:val="false"/>
          <w:bCs w:val="false"/>
          <w:sz w:val="24"/>
          <w:szCs w:val="24"/>
        </w:rPr>
        <w:t>по дисциплине «CDE»</w:t>
      </w:r>
    </w:p>
    <w:p>
      <w:pPr>
        <w:pStyle w:val="Normal"/>
        <w:bidi w:val="0"/>
        <w:jc w:val="center"/>
        <w:rPr/>
      </w:pPr>
      <w:r>
        <w:rPr>
          <w:rFonts w:ascii="Times New Roman" w:hAnsi="Times New Roman"/>
          <w:b/>
          <w:bCs/>
          <w:sz w:val="22"/>
          <w:szCs w:val="22"/>
        </w:rPr>
        <w:t xml:space="preserve">Тема : </w:t>
      </w:r>
      <w:r>
        <w:rPr>
          <w:b/>
          <w:bCs/>
        </w:rPr>
        <w:t>ИЗУЧЕНИЕ ЯВЛЕНИЯ РЕЗОНАНСА</w:t>
      </w:r>
    </w:p>
    <w:p>
      <w:pPr>
        <w:pStyle w:val="Normal"/>
        <w:bidi w:val="0"/>
        <w:jc w:val="center"/>
        <w:rPr>
          <w:b/>
          <w:bCs/>
        </w:rPr>
      </w:pPr>
      <w:r>
        <w:rPr>
          <w:b/>
          <w:bCs/>
        </w:rPr>
        <w:t xml:space="preserve"> </w:t>
      </w:r>
      <w:r>
        <w:rPr>
          <w:b/>
          <w:bCs/>
        </w:rPr>
        <w:t>В КОЛЕБАТЕЛЬНОМ КОНТУРЕ</w:t>
      </w:r>
    </w:p>
    <w:p>
      <w:pPr>
        <w:pStyle w:val="Normal"/>
        <w:bidi w:val="0"/>
        <w:jc w:val="center"/>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center"/>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center"/>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Выполнил ст. гр. TI-257</w:t>
        <w:tab/>
        <w:tab/>
        <w:tab/>
        <w:tab/>
        <w:tab/>
        <w:tab/>
        <w:t>Fridman Vladislav</w:t>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tab/>
        <w:t>Проверил унив. Ассистент</w:t>
        <w:tab/>
        <w:tab/>
        <w:tab/>
        <w:tab/>
        <w:tab/>
        <w:tab/>
        <w:t>Veribitchi V.</w:t>
      </w:r>
    </w:p>
    <w:p>
      <w:pPr>
        <w:pStyle w:val="Normal"/>
        <w:bidi w:val="0"/>
        <w:jc w:val="center"/>
        <w:rPr>
          <w:rFonts w:ascii="Times New Roman" w:hAnsi="Times New Roman"/>
          <w:b/>
          <w:bCs/>
          <w:sz w:val="20"/>
          <w:szCs w:val="20"/>
        </w:rPr>
      </w:pPr>
      <w:r>
        <w:rPr>
          <w:rFonts w:ascii="Times New Roman" w:hAnsi="Times New Roman"/>
          <w:b/>
          <w:bCs/>
          <w:sz w:val="20"/>
          <w:szCs w:val="20"/>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center"/>
        <w:rPr>
          <w:rFonts w:ascii="Times New Roman" w:hAnsi="Times New Roman"/>
          <w:b w:val="false"/>
          <w:bCs w:val="false"/>
          <w:sz w:val="24"/>
          <w:szCs w:val="24"/>
        </w:rPr>
      </w:pPr>
      <w:r>
        <w:rPr>
          <w:rFonts w:ascii="Times New Roman" w:hAnsi="Times New Roman"/>
          <w:b w:val="false"/>
          <w:bCs w:val="false"/>
          <w:sz w:val="24"/>
          <w:szCs w:val="24"/>
        </w:rPr>
        <w:t>Кишинев – 2025</w:t>
      </w:r>
    </w:p>
    <w:p>
      <w:pPr>
        <w:pStyle w:val="Normal"/>
        <w:bidi w:val="0"/>
        <w:ind w:firstLine="850" w:start="0" w:end="0"/>
        <w:jc w:val="start"/>
        <w:rPr>
          <w:rFonts w:ascii="Times New Roman" w:hAnsi="Times New Roman"/>
          <w:b w:val="false"/>
          <w:bCs w:val="false"/>
          <w:sz w:val="24"/>
          <w:szCs w:val="24"/>
        </w:rPr>
      </w:pPr>
      <w:r>
        <w:rPr>
          <w:rFonts w:ascii="Times New Roman" w:hAnsi="Times New Roman"/>
          <w:b/>
          <w:bCs/>
          <w:sz w:val="24"/>
          <w:szCs w:val="24"/>
        </w:rPr>
        <w:t>Цель работы</w:t>
      </w:r>
      <w:r>
        <w:rPr>
          <w:rFonts w:ascii="Times New Roman" w:hAnsi="Times New Roman"/>
          <w:b w:val="false"/>
          <w:bCs w:val="false"/>
          <w:sz w:val="24"/>
          <w:szCs w:val="24"/>
        </w:rPr>
        <w:t xml:space="preserve">: исследование явления резонанса напряжений и резонанса токов в колебательном LC контуре, определение резонансной частоты и добротности контура. </w:t>
      </w:r>
    </w:p>
    <w:p>
      <w:pPr>
        <w:pStyle w:val="Normal"/>
        <w:bidi w:val="0"/>
        <w:ind w:firstLine="850" w:start="0" w:end="0"/>
        <w:jc w:val="start"/>
        <w:rPr>
          <w:rFonts w:ascii="Times New Roman" w:hAnsi="Times New Roman"/>
          <w:b/>
          <w:bCs/>
          <w:sz w:val="24"/>
          <w:szCs w:val="24"/>
        </w:rPr>
      </w:pPr>
      <w:r>
        <w:rPr>
          <w:rFonts w:ascii="Times New Roman" w:hAnsi="Times New Roman"/>
          <w:b/>
          <w:bCs/>
          <w:sz w:val="24"/>
          <w:szCs w:val="24"/>
        </w:rPr>
      </w:r>
    </w:p>
    <w:p>
      <w:pPr>
        <w:pStyle w:val="Normal"/>
        <w:bidi w:val="0"/>
        <w:ind w:firstLine="850" w:start="0" w:end="0"/>
        <w:jc w:val="center"/>
        <w:rPr>
          <w:rFonts w:ascii="Times New Roman" w:hAnsi="Times New Roman"/>
          <w:b/>
          <w:bCs/>
          <w:sz w:val="24"/>
          <w:szCs w:val="24"/>
        </w:rPr>
      </w:pPr>
      <w:r>
        <w:rPr>
          <w:rFonts w:ascii="Times New Roman" w:hAnsi="Times New Roman"/>
          <w:b/>
          <w:bCs/>
          <w:sz w:val="24"/>
          <w:szCs w:val="24"/>
        </w:rPr>
        <w:t>1. Теоретич</w:t>
      </w:r>
      <w:r>
        <w:drawing>
          <wp:anchor behindDoc="0" distT="0" distB="0" distL="0" distR="0" simplePos="0" locked="0" layoutInCell="0" allowOverlap="1" relativeHeight="4">
            <wp:simplePos x="0" y="0"/>
            <wp:positionH relativeFrom="column">
              <wp:posOffset>1322070</wp:posOffset>
            </wp:positionH>
            <wp:positionV relativeFrom="paragraph">
              <wp:posOffset>378460</wp:posOffset>
            </wp:positionV>
            <wp:extent cx="3390900" cy="10795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3390900" cy="1079500"/>
                    </a:xfrm>
                    <a:prstGeom prst="rect">
                      <a:avLst/>
                    </a:prstGeom>
                    <a:noFill/>
                  </pic:spPr>
                </pic:pic>
              </a:graphicData>
            </a:graphic>
          </wp:anchor>
        </w:drawing>
      </w:r>
      <w:r>
        <w:rPr>
          <w:rFonts w:ascii="Times New Roman" w:hAnsi="Times New Roman"/>
          <w:b/>
          <w:bCs/>
          <w:sz w:val="24"/>
          <w:szCs w:val="24"/>
        </w:rPr>
        <w:t>еские сведения</w:t>
      </w:r>
    </w:p>
    <w:p>
      <w:pPr>
        <w:pStyle w:val="BodyText"/>
        <w:bidi w:val="0"/>
        <w:ind w:firstLine="850" w:start="0" w:end="0"/>
        <w:jc w:val="star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ind w:firstLine="850" w:start="0" w:end="0"/>
        <w:jc w:val="star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ind w:firstLine="850" w:start="0" w:end="0"/>
        <w:jc w:val="star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ind w:firstLine="850" w:start="0" w:end="0"/>
        <w:jc w:val="star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ind w:firstLine="850" w:start="0" w:end="0"/>
        <w:jc w:val="star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ind w:firstLine="850" w:start="0" w:end="0"/>
        <w:jc w:val="center"/>
        <w:rPr/>
      </w:pPr>
      <w:r>
        <w:rPr>
          <w:rFonts w:ascii="Times New Roman" w:hAnsi="Times New Roman"/>
          <w:b w:val="false"/>
          <w:bCs w:val="false"/>
          <w:sz w:val="24"/>
          <w:szCs w:val="24"/>
        </w:rPr>
        <w:t>Рис.1.1. а) последовательный колебательный конту</w:t>
      </w:r>
      <w:r>
        <w:rPr/>
        <w:t xml:space="preserve">ур; </w:t>
      </w:r>
    </w:p>
    <w:p>
      <w:pPr>
        <w:pStyle w:val="BodyText"/>
        <w:bidi w:val="0"/>
        <w:ind w:hanging="0" w:start="0" w:end="0"/>
        <w:jc w:val="center"/>
        <w:rPr/>
      </w:pPr>
      <w:r>
        <w:rPr/>
        <w:t xml:space="preserve">                   </w:t>
      </w:r>
      <w:r>
        <w:rPr/>
        <w:t xml:space="preserve">б) параллельный колебательный контур. </w:t>
      </w:r>
    </w:p>
    <w:p>
      <w:pPr>
        <w:pStyle w:val="BodyText"/>
        <w:bidi w:val="0"/>
        <w:ind w:firstLine="850" w:start="0" w:end="0"/>
        <w:jc w:val="start"/>
        <w:rPr>
          <w:rFonts w:ascii="Times New Roman" w:hAnsi="Times New Roman"/>
          <w:b w:val="false"/>
          <w:bCs w:val="false"/>
          <w:sz w:val="24"/>
          <w:szCs w:val="24"/>
        </w:rPr>
      </w:pPr>
      <w:r>
        <w:rPr>
          <w:rFonts w:ascii="Times New Roman" w:hAnsi="Times New Roman"/>
          <w:b/>
          <w:bCs/>
          <w:sz w:val="24"/>
          <w:szCs w:val="24"/>
        </w:rPr>
        <w:t>Колебательный контур</w:t>
      </w:r>
      <w:r>
        <w:rPr>
          <w:rFonts w:ascii="Times New Roman" w:hAnsi="Times New Roman"/>
          <w:b w:val="false"/>
          <w:bCs w:val="false"/>
          <w:sz w:val="24"/>
          <w:szCs w:val="24"/>
        </w:rPr>
        <w:t xml:space="preserve"> — это электрическая цепь, включающая конденсатор С и катушку индуктивности L. В зависимости от способа их соединения контур может быть последовательным или параллельным. При определённой частоте в таком контуре наступает резонанс: в последовательном контуре общее сопротивление минимально, а в параллельном — проводимость максимальна.</w:t>
      </w:r>
    </w:p>
    <w:p>
      <w:pPr>
        <w:pStyle w:val="BodyText"/>
        <w:bidi w:val="0"/>
        <w:ind w:hanging="0" w:start="0" w:end="0"/>
        <w:jc w:val="start"/>
        <w:rPr>
          <w:rFonts w:ascii="Times New Roman" w:hAnsi="Times New Roman"/>
          <w:b w:val="false"/>
          <w:bCs w:val="false"/>
        </w:rPr>
      </w:pPr>
      <w:r>
        <w:rPr>
          <w:rFonts w:ascii="Times New Roman" w:hAnsi="Times New Roman"/>
          <w:b w:val="false"/>
          <w:bCs w:val="false"/>
        </w:rPr>
        <w:t>Последовательный колебательный контур состоит из последовательно соединённых катушки индуктивности L и конденсатора C, иногда с учётом активного сопротивления R, которое учитывает потери в проводе катушки. Если такой контур питается синусоидальным напряжением, в нем протекает синусоидальный ток с фазовым сдвигом.</w:t>
      </w:r>
    </w:p>
    <w:p>
      <w:pPr>
        <w:pStyle w:val="BodyText"/>
        <w:bidi w:val="0"/>
        <w:ind w:hanging="0" w:start="0" w:end="0"/>
        <w:jc w:val="start"/>
        <w:rPr>
          <w:rFonts w:ascii="Times New Roman" w:hAnsi="Times New Roman"/>
          <w:b w:val="false"/>
          <w:bCs w:val="false"/>
        </w:rPr>
      </w:pPr>
      <w:r>
        <w:rPr>
          <w:rFonts w:ascii="Times New Roman" w:hAnsi="Times New Roman"/>
          <w:b w:val="false"/>
          <w:bCs w:val="false"/>
        </w:rPr>
        <w:t>Полное сопротивление контура выражается как сумма активного сопротивления и реактивной части, где реактивные сопротивления индуктивности и ёмкости противоположны по знаку. В зависимости от соотношения реактивных сопротивлений возможны три режима: индуктивный (XL&gt;XC), ёмкостной (XL&lt;XC) и резонансный (XL=XC). При резонансе реактивная часть сопротивления равна нулю, сопротивление контура минимально и равно активному сопротивлению, ток в цепи максимален и совпадает по фазе с напряжением. В этот момент амплитуды напряжений на реактивных элементах равны.</w:t>
      </w:r>
    </w:p>
    <w:p>
      <w:pPr>
        <w:pStyle w:val="BodyText"/>
        <w:bidi w:val="0"/>
        <w:ind w:hanging="0" w:start="0" w:end="0"/>
        <w:jc w:val="start"/>
        <w:rPr>
          <w:rFonts w:ascii="Times New Roman" w:hAnsi="Times New Roman"/>
          <w:b w:val="false"/>
          <w:bCs w:val="false"/>
        </w:rPr>
      </w:pPr>
      <w:r>
        <w:rPr>
          <w:rFonts w:ascii="Times New Roman" w:hAnsi="Times New Roman"/>
          <w:b w:val="false"/>
          <w:bCs w:val="false"/>
        </w:rPr>
        <w:t>Резонанс происходит на определённой угловой частоте, называемой собственной частотой колебательного контура.</w:t>
      </w:r>
    </w:p>
    <w:p>
      <w:pPr>
        <w:pStyle w:val="BodyText"/>
        <w:bidi w:val="0"/>
        <w:spacing w:before="0" w:after="26"/>
        <w:ind w:firstLine="850" w:start="0" w:end="0"/>
        <w:jc w:val="start"/>
        <w:rPr>
          <w:rFonts w:ascii="Times New Roman" w:hAnsi="Times New Roman"/>
          <w:b w:val="false"/>
          <w:bCs w:val="false"/>
          <w:sz w:val="24"/>
          <w:szCs w:val="24"/>
        </w:rPr>
      </w:pPr>
      <w:r>
        <w:rPr>
          <w:rFonts w:ascii="Times New Roman" w:hAnsi="Times New Roman"/>
          <w:b/>
          <w:bCs/>
          <w:sz w:val="24"/>
          <w:szCs w:val="24"/>
        </w:rPr>
        <w:t>Резонансная частота</w:t>
      </w:r>
      <w:r>
        <w:rPr>
          <w:rFonts w:ascii="Times New Roman" w:hAnsi="Times New Roman"/>
          <w:b w:val="false"/>
          <w:bCs w:val="false"/>
          <w:sz w:val="24"/>
          <w:szCs w:val="24"/>
        </w:rPr>
        <w:t xml:space="preserve"> колебательного контура определяется из условия равенства нулю реактивной составляющей входного сопротивления: </w:t>
      </w:r>
      <w:r>
        <w:rPr>
          <w:rFonts w:ascii="Times New Roman" w:hAnsi="Times New Roman"/>
          <w:b/>
          <w:bCs/>
          <w:sz w:val="24"/>
          <w:szCs w:val="24"/>
        </w:rPr>
        <w:t>X = ω</w:t>
      </w:r>
      <w:r>
        <w:rPr>
          <w:rFonts w:ascii="Times New Roman" w:hAnsi="Times New Roman"/>
          <w:b/>
          <w:bCs/>
          <w:sz w:val="24"/>
          <w:szCs w:val="24"/>
          <w:vertAlign w:val="subscript"/>
        </w:rPr>
        <w:t>0</w:t>
      </w:r>
      <w:r>
        <w:rPr>
          <w:rFonts w:ascii="Times New Roman" w:hAnsi="Times New Roman"/>
          <w:b/>
          <w:bCs/>
          <w:sz w:val="24"/>
          <w:szCs w:val="24"/>
        </w:rPr>
        <w:t>L− 1/ω</w:t>
      </w:r>
      <w:r>
        <w:rPr>
          <w:rFonts w:ascii="Times New Roman" w:hAnsi="Times New Roman"/>
          <w:b/>
          <w:bCs/>
          <w:sz w:val="24"/>
          <w:szCs w:val="24"/>
          <w:vertAlign w:val="subscript"/>
        </w:rPr>
        <w:t>0</w:t>
      </w:r>
      <w:r>
        <w:rPr>
          <w:rFonts w:ascii="Times New Roman" w:hAnsi="Times New Roman"/>
          <w:b/>
          <w:bCs/>
          <w:sz w:val="24"/>
          <w:szCs w:val="24"/>
        </w:rPr>
        <w:t>C = 0</w:t>
      </w:r>
      <w:r>
        <w:rPr>
          <w:rFonts w:ascii="Times New Roman" w:hAnsi="Times New Roman"/>
          <w:b w:val="false"/>
          <w:bCs w:val="false"/>
          <w:sz w:val="24"/>
          <w:szCs w:val="24"/>
        </w:rPr>
        <w:t>. Отсюда получается выражение для угловой резонансной частоты:</w:t>
      </w:r>
    </w:p>
    <w:p>
      <w:pPr>
        <w:pStyle w:val="BodyText"/>
        <w:bidi w:val="0"/>
        <w:spacing w:before="0" w:after="26"/>
        <w:ind w:hanging="0" w:start="0" w:end="0"/>
        <w:jc w:val="center"/>
        <w:rPr>
          <w:rFonts w:ascii="Times New Roman" w:hAnsi="Times New Roman"/>
          <w:b/>
          <w:bCs/>
        </w:rPr>
      </w:pPr>
      <w:r>
        <w:rPr>
          <w:rFonts w:ascii="Times New Roman" w:hAnsi="Times New Roman"/>
          <w:b/>
          <w:bCs/>
        </w:rPr>
        <w:t>ω</w:t>
      </w:r>
      <w:r>
        <w:rPr>
          <w:rFonts w:ascii="Times New Roman" w:hAnsi="Times New Roman"/>
          <w:b/>
          <w:bCs/>
          <w:vertAlign w:val="subscript"/>
        </w:rPr>
        <w:t>0</w:t>
      </w:r>
      <w:r>
        <w:rPr>
          <w:rFonts w:ascii="Times New Roman" w:hAnsi="Times New Roman"/>
          <w:b/>
          <w:bCs/>
        </w:rPr>
        <w:t>=1/√LC</w:t>
      </w:r>
    </w:p>
    <w:p>
      <w:pPr>
        <w:pStyle w:val="BodyText"/>
        <w:bidi w:val="0"/>
        <w:spacing w:before="0" w:after="26"/>
        <w:ind w:hanging="0" w:start="0" w:end="0"/>
        <w:jc w:val="start"/>
        <w:rPr>
          <w:rFonts w:ascii="Times New Roman" w:hAnsi="Times New Roman"/>
        </w:rPr>
      </w:pPr>
      <w:r>
        <w:rPr>
          <w:rFonts w:ascii="Times New Roman" w:hAnsi="Times New Roman"/>
        </w:rPr>
        <w:t>Циклической частоте соответствует частота резонанса:</w:t>
      </w:r>
    </w:p>
    <w:p>
      <w:pPr>
        <w:pStyle w:val="BodyText"/>
        <w:bidi w:val="0"/>
        <w:spacing w:before="0" w:after="26"/>
        <w:ind w:hanging="0" w:start="0" w:end="0"/>
        <w:jc w:val="center"/>
        <w:rPr>
          <w:rFonts w:ascii="Times New Roman" w:hAnsi="Times New Roman"/>
          <w:b/>
          <w:bCs/>
        </w:rPr>
      </w:pPr>
      <w:r>
        <w:rPr>
          <w:rFonts w:ascii="Times New Roman" w:hAnsi="Times New Roman"/>
          <w:b/>
          <w:bCs/>
        </w:rPr>
        <w:t>f</w:t>
      </w:r>
      <w:r>
        <w:rPr>
          <w:rFonts w:ascii="Times New Roman" w:hAnsi="Times New Roman"/>
          <w:b/>
          <w:bCs/>
          <w:vertAlign w:val="subscript"/>
        </w:rPr>
        <w:t>0</w:t>
      </w:r>
      <w:r>
        <w:rPr>
          <w:rFonts w:ascii="Times New Roman" w:hAnsi="Times New Roman"/>
          <w:b/>
          <w:bCs/>
        </w:rPr>
        <w:t>=ω</w:t>
      </w:r>
      <w:r>
        <w:rPr>
          <w:rFonts w:ascii="Times New Roman" w:hAnsi="Times New Roman"/>
          <w:b/>
          <w:bCs/>
          <w:vertAlign w:val="subscript"/>
        </w:rPr>
        <w:t>0</w:t>
      </w:r>
      <w:r>
        <w:rPr>
          <w:rFonts w:ascii="Times New Roman" w:hAnsi="Times New Roman"/>
          <w:b/>
          <w:bCs/>
          <w:position w:val="0"/>
          <w:sz w:val="24"/>
          <w:sz w:val="24"/>
          <w:vertAlign w:val="baseline"/>
        </w:rPr>
        <w:t>/2π</w:t>
      </w:r>
      <w:r>
        <w:rPr>
          <w:rFonts w:ascii="Times New Roman" w:hAnsi="Times New Roman"/>
          <w:b/>
          <w:bCs/>
        </w:rPr>
        <w:t>=1/2π√LC</w:t>
      </w:r>
    </w:p>
    <w:p>
      <w:pPr>
        <w:pStyle w:val="BodyText"/>
        <w:bidi w:val="0"/>
        <w:spacing w:before="0" w:after="26"/>
        <w:ind w:hanging="0" w:start="0" w:end="0"/>
        <w:jc w:val="start"/>
        <w:rPr>
          <w:rFonts w:ascii="Times New Roman" w:hAnsi="Times New Roman"/>
        </w:rPr>
      </w:pPr>
      <w:r>
        <w:rPr>
          <w:rFonts w:ascii="Times New Roman" w:hAnsi="Times New Roman"/>
        </w:rPr>
        <w:t>а длина волны резонанса определяется как:</w:t>
      </w:r>
    </w:p>
    <w:p>
      <w:pPr>
        <w:pStyle w:val="BodyText"/>
        <w:bidi w:val="0"/>
        <w:spacing w:before="0" w:after="26"/>
        <w:ind w:hanging="0" w:start="0" w:end="0"/>
        <w:jc w:val="center"/>
        <w:rPr>
          <w:rFonts w:ascii="Times New Roman" w:hAnsi="Times New Roman"/>
          <w:b/>
          <w:bCs/>
        </w:rPr>
      </w:pPr>
      <w:r>
        <w:rPr>
          <w:rFonts w:ascii="Times New Roman" w:hAnsi="Times New Roman"/>
          <w:b/>
          <w:bCs/>
        </w:rPr>
        <w:t>λ</w:t>
      </w:r>
      <w:r>
        <w:rPr>
          <w:rFonts w:ascii="Times New Roman" w:hAnsi="Times New Roman"/>
          <w:b/>
          <w:bCs/>
          <w:vertAlign w:val="subscript"/>
        </w:rPr>
        <w:t>0</w:t>
      </w:r>
      <w:r>
        <w:rPr>
          <w:rFonts w:ascii="Times New Roman" w:hAnsi="Times New Roman"/>
          <w:b/>
          <w:bCs/>
        </w:rPr>
        <w:t>=c/f</w:t>
      </w:r>
      <w:r>
        <w:rPr>
          <w:rFonts w:ascii="Times New Roman" w:hAnsi="Times New Roman"/>
          <w:b/>
          <w:bCs/>
          <w:vertAlign w:val="subscript"/>
        </w:rPr>
        <w:t>0</w:t>
      </w:r>
      <w:r>
        <w:rPr>
          <w:rFonts w:ascii="Times New Roman" w:hAnsi="Times New Roman"/>
          <w:b/>
          <w:bCs/>
        </w:rPr>
        <w:t>=2πc√LC</w:t>
      </w:r>
    </w:p>
    <w:p>
      <w:pPr>
        <w:pStyle w:val="BodyText"/>
        <w:bidi w:val="0"/>
        <w:spacing w:before="0" w:after="26"/>
        <w:ind w:hanging="0" w:start="0" w:end="0"/>
        <w:jc w:val="start"/>
        <w:rPr>
          <w:rFonts w:ascii="Times New Roman" w:hAnsi="Times New Roman"/>
        </w:rPr>
      </w:pPr>
      <w:r>
        <w:rPr>
          <w:rFonts w:ascii="Times New Roman" w:hAnsi="Times New Roman"/>
        </w:rPr>
        <w:t>где c — скорость света. При резонансе сопротивление емкости равно сопротивлению индуктивности:</w:t>
      </w:r>
    </w:p>
    <w:p>
      <w:pPr>
        <w:pStyle w:val="BodyText"/>
        <w:bidi w:val="0"/>
        <w:ind w:hanging="0" w:start="0" w:end="0"/>
        <w:jc w:val="center"/>
        <w:rPr>
          <w:rFonts w:ascii="Times New Roman" w:hAnsi="Times New Roman"/>
          <w:b/>
          <w:bCs/>
        </w:rPr>
      </w:pPr>
      <w:r>
        <w:rPr>
          <w:rFonts w:ascii="Times New Roman" w:hAnsi="Times New Roman"/>
          <w:b/>
          <w:bCs/>
        </w:rPr>
        <w:t>ω</w:t>
      </w:r>
      <w:r>
        <w:rPr>
          <w:rFonts w:ascii="Times New Roman" w:hAnsi="Times New Roman"/>
          <w:b/>
          <w:bCs/>
          <w:vertAlign w:val="subscript"/>
        </w:rPr>
        <w:t>0</w:t>
      </w:r>
      <w:r>
        <w:rPr>
          <w:rFonts w:ascii="Times New Roman" w:hAnsi="Times New Roman"/>
          <w:b/>
          <w:bCs/>
        </w:rPr>
        <w:t>L=1/ω</w:t>
      </w:r>
      <w:r>
        <w:rPr>
          <w:rFonts w:ascii="Times New Roman" w:hAnsi="Times New Roman"/>
          <w:b/>
          <w:bCs/>
          <w:vertAlign w:val="subscript"/>
        </w:rPr>
        <w:t>0</w:t>
      </w:r>
      <w:r>
        <w:rPr>
          <w:rFonts w:ascii="Times New Roman" w:hAnsi="Times New Roman"/>
          <w:b/>
          <w:bCs/>
        </w:rPr>
        <w:t>C=ρ=U</w:t>
      </w:r>
      <w:r>
        <w:rPr>
          <w:rFonts w:ascii="Times New Roman" w:hAnsi="Times New Roman"/>
          <w:b/>
          <w:bCs/>
          <w:vertAlign w:val="subscript"/>
        </w:rPr>
        <w:t>k</w:t>
      </w:r>
      <w:r>
        <w:rPr>
          <w:rFonts w:ascii="Times New Roman" w:hAnsi="Times New Roman"/>
          <w:b/>
          <w:bCs/>
        </w:rPr>
        <w:t>/I</w:t>
      </w:r>
      <w:r>
        <w:rPr>
          <w:rFonts w:ascii="Times New Roman" w:hAnsi="Times New Roman"/>
          <w:b/>
          <w:bCs/>
          <w:vertAlign w:val="subscript"/>
        </w:rPr>
        <w:t>0</w:t>
      </w:r>
    </w:p>
    <w:p>
      <w:pPr>
        <w:pStyle w:val="BodyText"/>
        <w:bidi w:val="0"/>
        <w:ind w:hanging="0" w:start="0" w:end="0"/>
        <w:jc w:val="start"/>
        <w:rPr>
          <w:rFonts w:ascii="Times New Roman" w:hAnsi="Times New Roman"/>
        </w:rPr>
      </w:pPr>
      <w:r>
        <w:rPr>
          <w:rFonts w:ascii="Times New Roman" w:hAnsi="Times New Roman"/>
        </w:rPr>
        <w:t>где U</w:t>
      </w:r>
      <w:r>
        <w:rPr>
          <w:rFonts w:ascii="Times New Roman" w:hAnsi="Times New Roman"/>
          <w:vertAlign w:val="subscript"/>
        </w:rPr>
        <w:t>k </w:t>
      </w:r>
      <w:r>
        <w:rPr>
          <w:rFonts w:ascii="Times New Roman" w:hAnsi="Times New Roman"/>
        </w:rPr>
        <w:t>и I</w:t>
      </w:r>
      <w:r>
        <w:rPr>
          <w:rFonts w:ascii="Times New Roman" w:hAnsi="Times New Roman"/>
          <w:vertAlign w:val="subscript"/>
        </w:rPr>
        <w:t>0 </w:t>
      </w:r>
      <w:r>
        <w:rPr>
          <w:rFonts w:ascii="Times New Roman" w:hAnsi="Times New Roman"/>
        </w:rPr>
        <w:t>— напряжение и ток в контуре на резонансной частоте. Величина ρ называется характеристическим сопротивлением колебательного контура и равна реактивному сопротивлению индуктивности или емкости на резонансной частоте.</w:t>
      </w:r>
    </w:p>
    <w:p>
      <w:pPr>
        <w:pStyle w:val="BodyText"/>
        <w:bidi w:val="0"/>
        <w:spacing w:lineRule="auto" w:line="276" w:before="0" w:after="140"/>
        <w:ind w:firstLine="850" w:start="0" w:end="0"/>
        <w:jc w:val="start"/>
        <w:rPr>
          <w:rFonts w:ascii="Times New Roman" w:hAnsi="Times New Roman"/>
        </w:rPr>
      </w:pPr>
      <w:r>
        <w:rPr>
          <w:rFonts w:ascii="Times New Roman" w:hAnsi="Times New Roman"/>
        </w:rPr>
        <w:t>Амплитуды тока и напряжений на реактивных элементах в резонансе выражаются через добротность контура Q:</w:t>
      </w:r>
    </w:p>
    <w:p>
      <w:pPr>
        <w:pStyle w:val="BodyText"/>
        <w:bidi w:val="0"/>
        <w:ind w:hanging="0" w:start="0" w:end="0"/>
        <w:jc w:val="center"/>
        <w:rPr>
          <w:rFonts w:ascii="Times New Roman" w:hAnsi="Times New Roman"/>
          <w:b/>
          <w:bCs/>
        </w:rPr>
      </w:pPr>
      <w:r>
        <w:rPr>
          <w:rFonts w:ascii="Times New Roman" w:hAnsi="Times New Roman"/>
          <w:b/>
          <w:bCs/>
        </w:rPr>
        <w:t>I(ω</w:t>
      </w:r>
      <w:r>
        <w:rPr>
          <w:rFonts w:ascii="Times New Roman" w:hAnsi="Times New Roman"/>
          <w:b/>
          <w:bCs/>
          <w:vertAlign w:val="subscript"/>
        </w:rPr>
        <w:t>0</w:t>
      </w:r>
      <w:r>
        <w:rPr>
          <w:rFonts w:ascii="Times New Roman" w:hAnsi="Times New Roman"/>
          <w:b/>
          <w:bCs/>
        </w:rPr>
        <w:t>)=Uвх/R, UC(ω</w:t>
      </w:r>
      <w:r>
        <w:rPr>
          <w:rFonts w:ascii="Times New Roman" w:hAnsi="Times New Roman"/>
          <w:b/>
          <w:bCs/>
          <w:vertAlign w:val="subscript"/>
        </w:rPr>
        <w:t>0</w:t>
      </w:r>
      <w:r>
        <w:rPr>
          <w:rFonts w:ascii="Times New Roman" w:hAnsi="Times New Roman"/>
          <w:b/>
          <w:bCs/>
        </w:rPr>
        <w:t>)=UL(ω</w:t>
      </w:r>
      <w:r>
        <w:rPr>
          <w:rFonts w:ascii="Times New Roman" w:hAnsi="Times New Roman"/>
          <w:b/>
          <w:bCs/>
          <w:vertAlign w:val="subscript"/>
        </w:rPr>
        <w:t>0</w:t>
      </w:r>
      <w:r>
        <w:rPr>
          <w:rFonts w:ascii="Times New Roman" w:hAnsi="Times New Roman"/>
          <w:b/>
          <w:bCs/>
        </w:rPr>
        <w:t>)=ρ⋅I=ρ/R Uвх=Q⋅Uвх</w:t>
      </w:r>
    </w:p>
    <w:p>
      <w:pPr>
        <w:pStyle w:val="BodyText"/>
        <w:bidi w:val="0"/>
        <w:spacing w:lineRule="auto" w:line="276" w:before="0" w:after="140"/>
        <w:ind w:firstLine="850" w:start="0" w:end="0"/>
        <w:jc w:val="start"/>
        <w:rPr>
          <w:rFonts w:ascii="Times New Roman" w:hAnsi="Times New Roman"/>
        </w:rPr>
      </w:pPr>
      <w:r>
        <w:rPr>
          <w:rFonts w:ascii="Times New Roman" w:hAnsi="Times New Roman"/>
        </w:rPr>
        <w:t>Отношение напряжения на реактивном элементе к входному напряжению называется добротностью контура:</w:t>
      </w:r>
    </w:p>
    <w:p>
      <w:pPr>
        <w:pStyle w:val="BodyText"/>
        <w:bidi w:val="0"/>
        <w:ind w:hanging="0" w:start="0" w:end="0"/>
        <w:jc w:val="center"/>
        <w:rPr>
          <w:rFonts w:ascii="Times New Roman" w:hAnsi="Times New Roman"/>
          <w:b/>
          <w:bCs/>
        </w:rPr>
      </w:pPr>
      <w:r>
        <w:rPr>
          <w:rFonts w:ascii="Times New Roman" w:hAnsi="Times New Roman"/>
          <w:b/>
          <w:bCs/>
        </w:rPr>
        <w:t>Q=UL/U</w:t>
      </w:r>
      <w:r>
        <w:rPr>
          <w:rFonts w:ascii="Times New Roman" w:hAnsi="Times New Roman"/>
          <w:b/>
          <w:bCs/>
          <w:vertAlign w:val="subscript"/>
        </w:rPr>
        <w:t>вх</w:t>
      </w:r>
      <w:r>
        <w:rPr>
          <w:rFonts w:ascii="Times New Roman" w:hAnsi="Times New Roman"/>
          <w:b/>
          <w:bCs/>
        </w:rPr>
        <w:t>=UC/U</w:t>
      </w:r>
      <w:r>
        <w:rPr>
          <w:rFonts w:ascii="Times New Roman" w:hAnsi="Times New Roman"/>
          <w:b/>
          <w:bCs/>
          <w:vertAlign w:val="subscript"/>
        </w:rPr>
        <w:t>вх</w:t>
      </w:r>
      <w:r>
        <w:rPr>
          <w:rFonts w:ascii="Times New Roman" w:hAnsi="Times New Roman"/>
          <w:b/>
          <w:bCs/>
        </w:rPr>
        <w:t>=ρ/R=1/R√L/C</w:t>
      </w:r>
    </w:p>
    <w:p>
      <w:pPr>
        <w:pStyle w:val="BodyText"/>
        <w:bidi w:val="0"/>
        <w:spacing w:lineRule="auto" w:line="276" w:before="0" w:after="140"/>
        <w:ind w:firstLine="850" w:start="0" w:end="0"/>
        <w:jc w:val="start"/>
        <w:rPr>
          <w:rFonts w:ascii="Times New Roman" w:hAnsi="Times New Roman"/>
        </w:rPr>
      </w:pPr>
      <w:r>
        <w:rPr>
          <w:rFonts w:ascii="Times New Roman" w:hAnsi="Times New Roman"/>
        </w:rPr>
        <w:t>При этом напряжение на реактивных элементах в Q раз больше входного, что называется резонансом напряжений. Колебательный контур обладает частотно-избирательными свойствами, которые описываются амплитудно-частотной характеристикой (АЧХ). Для последовательного контура АЧХ можно записать как:</w:t>
      </w:r>
    </w:p>
    <w:p>
      <w:pPr>
        <w:pStyle w:val="BodyText"/>
        <w:bidi w:val="0"/>
        <w:ind w:hanging="0" w:start="0" w:end="0"/>
        <w:jc w:val="center"/>
        <w:rPr>
          <w:rFonts w:ascii="Times New Roman" w:hAnsi="Times New Roman"/>
          <w:b/>
          <w:bCs/>
        </w:rPr>
      </w:pPr>
      <w:r>
        <w:rPr>
          <w:rFonts w:ascii="Times New Roman" w:hAnsi="Times New Roman"/>
          <w:b/>
          <w:bCs/>
        </w:rPr>
        <w:t>K=1/(1+(R/ρ(f/f</w:t>
      </w:r>
      <w:r>
        <w:rPr>
          <w:rFonts w:ascii="Times New Roman" w:hAnsi="Times New Roman"/>
          <w:b/>
          <w:bCs/>
          <w:vertAlign w:val="subscript"/>
        </w:rPr>
        <w:t>0</w:t>
      </w:r>
      <w:r>
        <w:rPr>
          <w:rFonts w:ascii="Times New Roman" w:hAnsi="Times New Roman"/>
          <w:b/>
          <w:bCs/>
        </w:rPr>
        <w:t>−f</w:t>
      </w:r>
      <w:r>
        <w:rPr>
          <w:rFonts w:ascii="Times New Roman" w:hAnsi="Times New Roman"/>
          <w:b/>
          <w:bCs/>
          <w:vertAlign w:val="subscript"/>
        </w:rPr>
        <w:t>0</w:t>
      </w:r>
      <w:r>
        <w:rPr>
          <w:rFonts w:ascii="Times New Roman" w:hAnsi="Times New Roman"/>
          <w:b/>
          <w:bCs/>
        </w:rPr>
        <w:t>/f))</w:t>
      </w:r>
      <w:r>
        <w:rPr>
          <w:rFonts w:ascii="Times New Roman" w:hAnsi="Times New Roman"/>
          <w:b/>
          <w:bCs/>
          <w:vertAlign w:val="superscript"/>
        </w:rPr>
        <w:t>2</w:t>
      </w:r>
      <w:r>
        <w:rPr>
          <w:rFonts w:ascii="Times New Roman" w:hAnsi="Times New Roman"/>
          <w:b/>
          <w:bCs/>
          <w:position w:val="0"/>
          <w:sz w:val="24"/>
          <w:sz w:val="24"/>
          <w:vertAlign w:val="baseline"/>
        </w:rPr>
        <w:t>)</w:t>
      </w:r>
    </w:p>
    <w:p>
      <w:pPr>
        <w:pStyle w:val="BodyText"/>
        <w:bidi w:val="0"/>
        <w:ind w:hanging="0" w:start="0" w:end="0"/>
        <w:jc w:val="start"/>
        <w:rPr>
          <w:rFonts w:ascii="Times New Roman" w:hAnsi="Times New Roman"/>
        </w:rPr>
      </w:pPr>
      <w:r>
        <w:rPr>
          <w:rFonts w:ascii="Times New Roman" w:hAnsi="Times New Roman"/>
        </w:rPr>
        <w:t>где K — относительный коэффициент передачи напряжения на выходе контура.</w:t>
      </w:r>
    </w:p>
    <w:p>
      <w:pPr>
        <w:pStyle w:val="BodyText"/>
        <w:bidi w:val="0"/>
        <w:spacing w:lineRule="auto" w:line="276" w:before="0" w:after="140"/>
        <w:ind w:firstLine="850" w:start="0" w:end="0"/>
        <w:jc w:val="start"/>
        <w:rPr>
          <w:rFonts w:ascii="Times New Roman" w:hAnsi="Times New Roman"/>
        </w:rPr>
      </w:pPr>
      <w:r>
        <w:rPr>
          <w:rFonts w:ascii="Times New Roman" w:hAnsi="Times New Roman"/>
          <w:b/>
          <w:bCs/>
        </w:rPr>
        <w:t>Фазо-частотная характеристика</w:t>
      </w:r>
      <w:r>
        <w:rPr>
          <w:rFonts w:ascii="Times New Roman" w:hAnsi="Times New Roman"/>
        </w:rPr>
        <w:t> ϕ(f) показывает зависимость фазового сдвига выходного напряжения цепи относительно входного в зависимости от частоты и задаётся выражением:</w:t>
      </w:r>
    </w:p>
    <w:p>
      <w:pPr>
        <w:pStyle w:val="BodyText"/>
        <w:bidi w:val="0"/>
        <w:ind w:hanging="0" w:start="0" w:end="0"/>
        <w:jc w:val="center"/>
        <w:rPr>
          <w:rFonts w:ascii="Times New Roman" w:hAnsi="Times New Roman"/>
          <w:b/>
          <w:bCs/>
        </w:rPr>
      </w:pPr>
      <w:r>
        <w:rPr>
          <w:rFonts w:ascii="Times New Roman" w:hAnsi="Times New Roman"/>
          <w:b/>
          <w:bCs/>
        </w:rPr>
        <w:t>ϕ=arctg(R/ρ(f/f</w:t>
      </w:r>
      <w:r>
        <w:rPr>
          <w:rFonts w:ascii="Times New Roman" w:hAnsi="Times New Roman"/>
          <w:b/>
          <w:bCs/>
          <w:vertAlign w:val="subscript"/>
        </w:rPr>
        <w:t>0</w:t>
      </w:r>
      <w:r>
        <w:rPr>
          <w:rFonts w:ascii="Times New Roman" w:hAnsi="Times New Roman"/>
          <w:b/>
          <w:bCs/>
        </w:rPr>
        <w:t>−f</w:t>
      </w:r>
      <w:r>
        <w:rPr>
          <w:rFonts w:ascii="Times New Roman" w:hAnsi="Times New Roman"/>
          <w:b/>
          <w:bCs/>
          <w:vertAlign w:val="subscript"/>
        </w:rPr>
        <w:t>0</w:t>
      </w:r>
      <w:r>
        <w:rPr>
          <w:rFonts w:ascii="Times New Roman" w:hAnsi="Times New Roman"/>
          <w:b/>
          <w:bCs/>
        </w:rPr>
        <w:t>/f)</w:t>
      </w:r>
    </w:p>
    <w:p>
      <w:pPr>
        <w:pStyle w:val="BodyText"/>
        <w:bidi w:val="0"/>
        <w:spacing w:lineRule="auto" w:line="276" w:before="0" w:after="140"/>
        <w:ind w:firstLine="850" w:start="0" w:end="0"/>
        <w:jc w:val="start"/>
        <w:rPr>
          <w:rFonts w:ascii="Times New Roman" w:hAnsi="Times New Roman"/>
        </w:rPr>
      </w:pPr>
      <w:r>
        <w:rPr>
          <w:rFonts w:ascii="Times New Roman" w:hAnsi="Times New Roman"/>
        </w:rPr>
        <w:t>где f0 — резонансная частота, ρ — характеристическое сопротивление, и R — активное сопротивление цепи. В графиках (рис. 2.2) изображены амплитудно-частотная характеристика (АЧХ) и фазово-частотная характеристика (ФЧХ) последовательного колебательного контура, где Δf — полоса пропускания.</w:t>
      </w:r>
    </w:p>
    <w:p>
      <w:pPr>
        <w:pStyle w:val="BodyText"/>
        <w:bidi w:val="0"/>
        <w:spacing w:lineRule="auto" w:line="276" w:before="0" w:after="140"/>
        <w:ind w:firstLine="850" w:start="0" w:end="0"/>
        <w:jc w:val="start"/>
        <w:rPr>
          <w:rFonts w:ascii="Times New Roman" w:hAnsi="Times New Roman"/>
        </w:rPr>
      </w:pPr>
      <w:r>
        <w:rPr>
          <w:rFonts w:ascii="Times New Roman" w:hAnsi="Times New Roman"/>
        </w:rPr>
        <w:t>На резонансной частоте фазовый сдвиг равен нулю, при этом напряжения на конденсаторе и индукторе равны по модулю и противоположны по фазе. При частотах меньше f0 (f &lt; f0) цепь ведёт себя как ёмкостная (ϕ&lt;0), а при частотах выше f0 (f &gt; f0) — как индуктивная (ϕ&gt;0). Чем шире полоса пропускания, тем выше избирательность и добротность контура, которая определяется формулой:</w:t>
      </w:r>
    </w:p>
    <w:p>
      <w:pPr>
        <w:pStyle w:val="BodyText"/>
        <w:bidi w:val="0"/>
        <w:ind w:hanging="0" w:start="0" w:end="0"/>
        <w:jc w:val="center"/>
        <w:rPr>
          <w:rFonts w:ascii="Times New Roman" w:hAnsi="Times New Roman"/>
          <w:b/>
          <w:bCs/>
        </w:rPr>
      </w:pPr>
      <w:r>
        <w:rPr>
          <w:rFonts w:ascii="Times New Roman" w:hAnsi="Times New Roman"/>
          <w:b/>
          <w:bCs/>
        </w:rPr>
        <w:t>Q=f</w:t>
      </w:r>
      <w:r>
        <w:rPr>
          <w:rFonts w:ascii="Times New Roman" w:hAnsi="Times New Roman"/>
          <w:b/>
          <w:bCs/>
          <w:vertAlign w:val="subscript"/>
        </w:rPr>
        <w:t>0</w:t>
      </w:r>
      <w:r>
        <w:rPr>
          <w:rFonts w:ascii="Times New Roman" w:hAnsi="Times New Roman"/>
          <w:b/>
          <w:bCs/>
        </w:rPr>
        <w:t>/Δf</w:t>
      </w:r>
    </w:p>
    <w:p>
      <w:pPr>
        <w:pStyle w:val="BodyText"/>
        <w:tabs>
          <w:tab w:val="clear" w:pos="709"/>
          <w:tab w:val="left" w:pos="569" w:leader="none"/>
        </w:tabs>
        <w:bidi w:val="0"/>
        <w:spacing w:lineRule="auto" w:line="276" w:before="0" w:after="140"/>
        <w:ind w:firstLine="850" w:start="0" w:end="0"/>
        <w:jc w:val="start"/>
        <w:rPr>
          <w:rFonts w:ascii="Times New Roman" w:hAnsi="Times New Roman"/>
        </w:rPr>
      </w:pPr>
      <w:r>
        <w:rPr>
          <w:rFonts w:ascii="Times New Roman" w:hAnsi="Times New Roman"/>
        </w:rPr>
        <w:t>где Δf — ширина полосы пропускания, равная разнице между верхней fv и нижней fn границами.</w:t>
      </w:r>
    </w:p>
    <w:p>
      <w:pPr>
        <w:pStyle w:val="BodyText"/>
        <w:bidi w:val="0"/>
        <w:ind w:hanging="0" w:start="0" w:end="0"/>
        <w:jc w:val="start"/>
        <w:rPr>
          <w:rFonts w:ascii="Times New Roman" w:hAnsi="Times New Roman"/>
        </w:rPr>
      </w:pPr>
      <w:r>
        <w:rPr>
          <w:rFonts w:ascii="Times New Roman" w:hAnsi="Times New Roman"/>
        </w:rPr>
        <w:drawing>
          <wp:anchor behindDoc="0" distT="0" distB="0" distL="0" distR="0" simplePos="0" locked="0" layoutInCell="0" allowOverlap="1" relativeHeight="5">
            <wp:simplePos x="0" y="0"/>
            <wp:positionH relativeFrom="column">
              <wp:posOffset>25400</wp:posOffset>
            </wp:positionH>
            <wp:positionV relativeFrom="paragraph">
              <wp:posOffset>-36195</wp:posOffset>
            </wp:positionV>
            <wp:extent cx="3009900" cy="20193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3009900" cy="2019300"/>
                    </a:xfrm>
                    <a:prstGeom prst="rect">
                      <a:avLst/>
                    </a:prstGeom>
                    <a:noFill/>
                  </pic:spPr>
                </pic:pic>
              </a:graphicData>
            </a:graphic>
          </wp:anchor>
        </w:drawing>
      </w:r>
    </w:p>
    <w:p>
      <w:pPr>
        <w:pStyle w:val="BodyText"/>
        <w:bidi w:val="0"/>
        <w:spacing w:lineRule="auto" w:line="276" w:before="0" w:after="140"/>
        <w:ind w:hanging="0" w:start="0" w:end="0"/>
        <w:jc w:val="start"/>
        <w:rPr>
          <w:rFonts w:ascii="Times New Roman" w:hAnsi="Times New Roman"/>
          <w:b w:val="false"/>
          <w:bCs w:val="false"/>
        </w:rPr>
      </w:pPr>
      <w:r>
        <w:rPr>
          <w:rFonts w:ascii="Times New Roman" w:hAnsi="Times New Roman"/>
          <w:b w:val="false"/>
          <w:bCs w:val="false"/>
        </w:rPr>
      </w:r>
    </w:p>
    <w:p>
      <w:pPr>
        <w:pStyle w:val="BodyText"/>
        <w:bidi w:val="0"/>
        <w:spacing w:lineRule="auto" w:line="276" w:before="0" w:after="140"/>
        <w:ind w:hanging="0" w:start="0" w:end="0"/>
        <w:jc w:val="start"/>
        <w:rPr>
          <w:rFonts w:ascii="Times New Roman" w:hAnsi="Times New Roman"/>
          <w:b w:val="false"/>
          <w:bCs w:val="false"/>
        </w:rPr>
      </w:pPr>
      <w:r>
        <w:rPr>
          <w:rFonts w:ascii="Times New Roman" w:hAnsi="Times New Roman"/>
          <w:b w:val="false"/>
          <w:bCs w:val="false"/>
        </w:rPr>
        <w:t>Рис.1.2. Характеристики последовательного колебательного контура: а) амплитудно-частотная (АЧХ), б) фазо-частотная (ФЧХ)</w:t>
      </w:r>
    </w:p>
    <w:p>
      <w:pPr>
        <w:pStyle w:val="Normal"/>
        <w:bidi w:val="0"/>
        <w:ind w:firstLine="850" w:start="0" w:end="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ind w:firstLine="850" w:start="0" w:end="0"/>
        <w:jc w:val="star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ind w:firstLine="850" w:start="0" w:end="0"/>
        <w:jc w:val="start"/>
        <w:rPr>
          <w:rFonts w:ascii="Times New Roman" w:hAnsi="Times New Roman"/>
          <w:b w:val="false"/>
          <w:bCs w:val="false"/>
          <w:sz w:val="24"/>
          <w:szCs w:val="24"/>
        </w:rPr>
      </w:pPr>
      <w:r>
        <w:rPr>
          <w:rFonts w:ascii="Times New Roman" w:hAnsi="Times New Roman"/>
          <w:b w:val="false"/>
          <w:bCs w:val="false"/>
          <w:sz w:val="24"/>
          <w:szCs w:val="24"/>
        </w:rPr>
        <w:t>Параллельный колебательный контур состоит из катушки индуктивности L и конденсатора C, соединённых параллельно, при этом в цепь катушки включено активное сопротивление потерь R. Полное входное сопротивление (импеданс) контура может быть выражено формулой:</w:t>
      </w:r>
    </w:p>
    <w:p>
      <w:pPr>
        <w:pStyle w:val="BodyText"/>
        <w:bidi w:val="0"/>
        <w:ind w:hanging="0" w:start="0" w:end="0"/>
        <w:jc w:val="center"/>
        <w:rPr>
          <w:rFonts w:ascii="Times New Roman" w:hAnsi="Times New Roman"/>
          <w:b/>
          <w:bCs/>
        </w:rPr>
      </w:pPr>
      <w:r>
        <w:rPr>
          <w:rFonts w:ascii="Times New Roman" w:hAnsi="Times New Roman"/>
          <w:b/>
          <w:bCs/>
        </w:rPr>
        <w:t>Z  =  ((R+jωL)⋅1/jωC)/(R+jωL+1/jωC)  =  ((R+jωL)⋅1/jωC)/(R+j(ωL−1/ωC))</w:t>
      </w:r>
    </w:p>
    <w:p>
      <w:pPr>
        <w:pStyle w:val="BodyText"/>
        <w:bidi w:val="0"/>
        <w:spacing w:lineRule="auto" w:line="276" w:before="0" w:after="0"/>
        <w:ind w:firstLine="850" w:start="0" w:end="0"/>
        <w:jc w:val="start"/>
        <w:rPr>
          <w:rFonts w:ascii="Times New Roman" w:hAnsi="Times New Roman"/>
        </w:rPr>
      </w:pPr>
      <w:r>
        <w:rPr>
          <w:rFonts w:ascii="Times New Roman" w:hAnsi="Times New Roman"/>
        </w:rPr>
        <w:t>При большой добротности Q≫1, когда ρ=ωL≫R, выражение упрощается до:</w:t>
      </w:r>
    </w:p>
    <w:p>
      <w:pPr>
        <w:pStyle w:val="BodyText"/>
        <w:bidi w:val="0"/>
        <w:spacing w:before="0" w:after="0"/>
        <w:ind w:hanging="0" w:start="0" w:end="0"/>
        <w:jc w:val="center"/>
        <w:rPr>
          <w:rFonts w:ascii="Times New Roman" w:hAnsi="Times New Roman"/>
          <w:b/>
          <w:bCs/>
        </w:rPr>
      </w:pPr>
      <w:r>
        <w:rPr>
          <w:rFonts w:ascii="Times New Roman" w:hAnsi="Times New Roman"/>
          <w:b/>
          <w:bCs/>
        </w:rPr>
        <w:t xml:space="preserve">Z = </w:t>
      </w:r>
      <w:r>
        <w:rPr>
          <w:rFonts w:ascii="Times New Roman" w:hAnsi="Times New Roman"/>
          <w:b/>
          <w:bCs/>
          <w:position w:val="0"/>
          <w:sz w:val="24"/>
          <w:sz w:val="24"/>
          <w:vertAlign w:val="baseline"/>
        </w:rPr>
        <w:t>ρ</w:t>
      </w:r>
      <w:r>
        <w:rPr>
          <w:rFonts w:ascii="Times New Roman" w:hAnsi="Times New Roman"/>
          <w:b/>
          <w:bCs/>
          <w:vertAlign w:val="superscript"/>
        </w:rPr>
        <w:t>2</w:t>
      </w:r>
      <w:r>
        <w:rPr>
          <w:rFonts w:ascii="Times New Roman" w:hAnsi="Times New Roman"/>
          <w:b/>
          <w:bCs/>
          <w:position w:val="0"/>
          <w:sz w:val="24"/>
          <w:sz w:val="24"/>
          <w:vertAlign w:val="baseline"/>
        </w:rPr>
        <w:t>/(R</w:t>
      </w:r>
      <w:r>
        <w:rPr>
          <w:rFonts w:ascii="Times New Roman" w:hAnsi="Times New Roman"/>
          <w:b/>
          <w:bCs/>
        </w:rPr>
        <w:t>(1+j(ωL−1/ωC)))</w:t>
      </w:r>
    </w:p>
    <w:p>
      <w:pPr>
        <w:pStyle w:val="BodyText"/>
        <w:bidi w:val="0"/>
        <w:spacing w:lineRule="auto" w:line="276" w:before="0" w:after="0"/>
        <w:ind w:firstLine="850" w:start="0" w:end="0"/>
        <w:jc w:val="start"/>
        <w:rPr>
          <w:rFonts w:ascii="Times New Roman" w:hAnsi="Times New Roman"/>
        </w:rPr>
      </w:pPr>
      <w:r>
        <w:rPr>
          <w:rFonts w:ascii="Times New Roman" w:hAnsi="Times New Roman"/>
        </w:rPr>
        <w:t>где ρ=√L/C — характеристическое сопротивление контура.</w:t>
      </w:r>
    </w:p>
    <w:p>
      <w:pPr>
        <w:pStyle w:val="BodyText"/>
        <w:bidi w:val="0"/>
        <w:ind w:hanging="0" w:start="0" w:end="0"/>
        <w:jc w:val="start"/>
        <w:rPr>
          <w:rFonts w:ascii="Times New Roman" w:hAnsi="Times New Roman"/>
        </w:rPr>
      </w:pPr>
      <w:r>
        <w:rPr>
          <w:rFonts w:ascii="Times New Roman" w:hAnsi="Times New Roman"/>
        </w:rPr>
        <w:t>Амплитудно-частотная характеристика (АЧХ) параллельного контура задаётся выражением:</w:t>
      </w:r>
    </w:p>
    <w:p>
      <w:pPr>
        <w:pStyle w:val="Normal"/>
        <w:bidi w:val="0"/>
        <w:ind w:firstLine="850" w:start="0" w:end="0"/>
        <w:jc w:val="center"/>
        <w:rPr>
          <w:rFonts w:ascii="Times New Roman" w:hAnsi="Times New Roman"/>
          <w:b/>
          <w:bCs/>
          <w:sz w:val="24"/>
          <w:szCs w:val="24"/>
        </w:rPr>
      </w:pPr>
      <w:r>
        <w:rPr>
          <w:rFonts w:ascii="Times New Roman" w:hAnsi="Times New Roman"/>
          <w:b/>
          <w:bCs/>
          <w:sz w:val="24"/>
          <w:szCs w:val="24"/>
        </w:rPr>
        <w:t>K=1/√(1+(2QΔω/ω</w:t>
      </w:r>
      <w:r>
        <w:rPr>
          <w:rFonts w:ascii="Times New Roman" w:hAnsi="Times New Roman"/>
          <w:b/>
          <w:bCs/>
          <w:sz w:val="24"/>
          <w:szCs w:val="24"/>
          <w:vertAlign w:val="subscript"/>
        </w:rPr>
        <w:t>0</w:t>
      </w:r>
      <w:r>
        <w:rPr>
          <w:rFonts w:ascii="Times New Roman" w:hAnsi="Times New Roman"/>
          <w:b/>
          <w:bCs/>
          <w:sz w:val="24"/>
          <w:szCs w:val="24"/>
        </w:rPr>
        <w:t>)</w:t>
      </w:r>
      <w:r>
        <w:rPr>
          <w:rFonts w:ascii="Times New Roman" w:hAnsi="Times New Roman"/>
          <w:b/>
          <w:bCs/>
          <w:sz w:val="24"/>
          <w:szCs w:val="24"/>
          <w:vertAlign w:val="superscript"/>
        </w:rPr>
        <w:t>2</w:t>
      </w:r>
      <w:r>
        <w:rPr>
          <w:rFonts w:ascii="Times New Roman" w:hAnsi="Times New Roman"/>
          <w:b/>
          <w:bCs/>
          <w:position w:val="0"/>
          <w:sz w:val="24"/>
          <w:sz w:val="24"/>
          <w:szCs w:val="24"/>
          <w:vertAlign w:val="baseline"/>
        </w:rPr>
        <w:t>)</w:t>
      </w:r>
    </w:p>
    <w:p>
      <w:pPr>
        <w:pStyle w:val="BodyText"/>
        <w:bidi w:val="0"/>
        <w:spacing w:lineRule="auto" w:line="276" w:before="0" w:after="140"/>
        <w:ind w:firstLine="850" w:start="0" w:end="0"/>
        <w:jc w:val="start"/>
        <w:rPr>
          <w:rFonts w:ascii="Times New Roman" w:hAnsi="Times New Roman"/>
        </w:rPr>
      </w:pPr>
      <w:r>
        <w:rPr>
          <w:rFonts w:ascii="Times New Roman" w:hAnsi="Times New Roman"/>
        </w:rPr>
        <w:t>где Δω=ω−ω</w:t>
      </w:r>
      <w:r>
        <w:rPr>
          <w:rFonts w:ascii="Times New Roman" w:hAnsi="Times New Roman"/>
          <w:vertAlign w:val="subscript"/>
        </w:rPr>
        <w:t>0</w:t>
      </w:r>
      <w:r>
        <w:rPr>
          <w:rFonts w:ascii="Times New Roman" w:hAnsi="Times New Roman"/>
        </w:rPr>
        <w:t> — абсолютное расстройство контура относительно резонансной угловой частоты ω</w:t>
      </w:r>
      <w:r>
        <w:rPr>
          <w:rFonts w:ascii="Times New Roman" w:hAnsi="Times New Roman"/>
          <w:vertAlign w:val="subscript"/>
        </w:rPr>
        <w:t>0</w:t>
      </w:r>
      <w:r>
        <w:rPr>
          <w:rFonts w:ascii="Times New Roman" w:hAnsi="Times New Roman"/>
        </w:rPr>
        <w:t>=2πf</w:t>
      </w:r>
      <w:r>
        <w:rPr>
          <w:rFonts w:ascii="Times New Roman" w:hAnsi="Times New Roman"/>
          <w:vertAlign w:val="subscript"/>
        </w:rPr>
        <w:t>0</w:t>
      </w:r>
      <w:r>
        <w:rPr>
          <w:rFonts w:ascii="Times New Roman" w:hAnsi="Times New Roman"/>
        </w:rPr>
        <w:t>, а Q — добротность.</w:t>
      </w:r>
    </w:p>
    <w:p>
      <w:pPr>
        <w:pStyle w:val="BodyText"/>
        <w:bidi w:val="0"/>
        <w:ind w:hanging="0" w:start="0" w:end="0"/>
        <w:jc w:val="start"/>
        <w:rPr>
          <w:rFonts w:ascii="Times New Roman" w:hAnsi="Times New Roman"/>
        </w:rPr>
      </w:pPr>
      <w:r>
        <w:rPr>
          <w:rFonts w:ascii="Times New Roman" w:hAnsi="Times New Roman"/>
        </w:rPr>
        <w:t>Фазо-частотная характеристика (ФЧХ) при малых расстройках определяется формулой:</w:t>
      </w:r>
    </w:p>
    <w:p>
      <w:pPr>
        <w:pStyle w:val="BodyText"/>
        <w:bidi w:val="0"/>
        <w:ind w:hanging="0" w:start="0" w:end="0"/>
        <w:jc w:val="center"/>
        <w:rPr>
          <w:rFonts w:ascii="Times New Roman" w:hAnsi="Times New Roman"/>
        </w:rPr>
      </w:pPr>
      <w:r>
        <w:rPr>
          <w:rFonts w:ascii="Times New Roman" w:hAnsi="Times New Roman"/>
          <w:b/>
          <w:bCs/>
        </w:rPr>
        <w:t>ϕ=arctg(</w:t>
      </w:r>
      <w:r>
        <w:rPr>
          <w:rFonts w:ascii="Times New Roman" w:hAnsi="Times New Roman"/>
          <w:b/>
          <w:bCs/>
          <w:sz w:val="24"/>
          <w:szCs w:val="24"/>
        </w:rPr>
        <w:t>2QΔω/ω</w:t>
      </w:r>
      <w:r>
        <w:rPr>
          <w:rFonts w:ascii="Times New Roman" w:hAnsi="Times New Roman"/>
          <w:b/>
          <w:bCs/>
          <w:sz w:val="24"/>
          <w:szCs w:val="24"/>
          <w:vertAlign w:val="subscript"/>
        </w:rPr>
        <w:t>0</w:t>
      </w:r>
      <w:r>
        <w:rPr>
          <w:rFonts w:ascii="Times New Roman" w:hAnsi="Times New Roman"/>
          <w:b/>
          <w:bCs/>
        </w:rPr>
        <w:t>)</w:t>
      </w:r>
      <w:r>
        <w:drawing>
          <wp:anchor behindDoc="0" distT="0" distB="0" distL="0" distR="0" simplePos="0" locked="0" layoutInCell="0" allowOverlap="1" relativeHeight="6">
            <wp:simplePos x="0" y="0"/>
            <wp:positionH relativeFrom="column">
              <wp:posOffset>26670</wp:posOffset>
            </wp:positionH>
            <wp:positionV relativeFrom="paragraph">
              <wp:posOffset>231140</wp:posOffset>
            </wp:positionV>
            <wp:extent cx="2755900" cy="19304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2755900" cy="1930400"/>
                    </a:xfrm>
                    <a:prstGeom prst="rect">
                      <a:avLst/>
                    </a:prstGeom>
                    <a:noFill/>
                  </pic:spPr>
                </pic:pic>
              </a:graphicData>
            </a:graphic>
          </wp:anchor>
        </w:drawing>
      </w:r>
      <w:r>
        <w:rPr>
          <w:rFonts w:ascii="Times New Roman" w:hAnsi="Times New Roman"/>
        </w:rPr>
        <w:br/>
      </w:r>
    </w:p>
    <w:p>
      <w:pPr>
        <w:pStyle w:val="BodyText"/>
        <w:bidi w:val="0"/>
        <w:ind w:hanging="0" w:start="0" w:end="0"/>
        <w:jc w:val="start"/>
        <w:rPr>
          <w:rFonts w:ascii="Times New Roman" w:hAnsi="Times New Roman"/>
        </w:rPr>
      </w:pPr>
      <w:r>
        <w:rPr>
          <w:rFonts w:ascii="Times New Roman" w:hAnsi="Times New Roman"/>
        </w:rPr>
      </w:r>
    </w:p>
    <w:p>
      <w:pPr>
        <w:pStyle w:val="BodyText"/>
        <w:bidi w:val="0"/>
        <w:ind w:hanging="0" w:start="0" w:end="0"/>
        <w:jc w:val="start"/>
        <w:rPr>
          <w:rFonts w:ascii="Times New Roman" w:hAnsi="Times New Roman"/>
        </w:rPr>
      </w:pPr>
      <w:r>
        <w:rPr>
          <w:rFonts w:ascii="Times New Roman" w:hAnsi="Times New Roman"/>
        </w:rPr>
        <w:t xml:space="preserve">Рис.1.3. Характеристики параллельного колебательного контура: а) амплитудно-частотная (АЧХ), б) фазо-частотная (ФЧХ). </w:t>
      </w:r>
    </w:p>
    <w:p>
      <w:pPr>
        <w:pStyle w:val="BodyText"/>
        <w:bidi w:val="0"/>
        <w:ind w:hanging="0" w:start="0" w:end="0"/>
        <w:jc w:val="start"/>
        <w:rPr>
          <w:rFonts w:ascii="Times New Roman" w:hAnsi="Times New Roman"/>
        </w:rPr>
      </w:pPr>
      <w:r>
        <w:rPr>
          <w:rFonts w:ascii="Times New Roman" w:hAnsi="Times New Roman"/>
        </w:rPr>
      </w:r>
    </w:p>
    <w:p>
      <w:pPr>
        <w:pStyle w:val="BodyText"/>
        <w:bidi w:val="0"/>
        <w:ind w:hanging="0" w:start="0" w:end="0"/>
        <w:jc w:val="start"/>
        <w:rPr>
          <w:rFonts w:ascii="Times New Roman" w:hAnsi="Times New Roman"/>
        </w:rPr>
      </w:pPr>
      <w:r>
        <w:rPr>
          <w:rFonts w:ascii="Times New Roman" w:hAnsi="Times New Roman"/>
        </w:rPr>
      </w:r>
    </w:p>
    <w:p>
      <w:pPr>
        <w:pStyle w:val="BodyText"/>
        <w:bidi w:val="0"/>
        <w:ind w:hanging="0" w:start="0" w:end="0"/>
        <w:jc w:val="start"/>
        <w:rPr>
          <w:rFonts w:ascii="Times New Roman" w:hAnsi="Times New Roman"/>
        </w:rPr>
      </w:pPr>
      <w:r>
        <w:rPr>
          <w:rFonts w:ascii="Times New Roman" w:hAnsi="Times New Roman"/>
        </w:rPr>
      </w:r>
    </w:p>
    <w:p>
      <w:pPr>
        <w:pStyle w:val="BodyText"/>
        <w:bidi w:val="0"/>
        <w:spacing w:lineRule="auto" w:line="276" w:before="0" w:after="140"/>
        <w:ind w:firstLine="850" w:start="0" w:end="0"/>
        <w:jc w:val="start"/>
        <w:rPr>
          <w:rFonts w:ascii="Times New Roman" w:hAnsi="Times New Roman"/>
        </w:rPr>
      </w:pPr>
      <w:r>
        <w:rPr>
          <w:rFonts w:ascii="Times New Roman" w:hAnsi="Times New Roman"/>
        </w:rPr>
        <w:t>Графически амплитудно-частотная характеристика (АЧХ) параллельного колебательного контура изображается в виде резонансной кривой, по которой определяют полосу пропускания Δf и добротность Q. Амплитуда тока через реактивные элементы L и C на резонансной частоте f=f0 в Q раз превышает входной ток, поэтому резонанс в таком контуре называют резонансом токов.</w:t>
      </w:r>
    </w:p>
    <w:p>
      <w:pPr>
        <w:pStyle w:val="BodyText"/>
        <w:bidi w:val="0"/>
        <w:spacing w:lineRule="auto" w:line="276" w:before="0" w:after="140"/>
        <w:ind w:firstLine="850" w:start="0" w:end="0"/>
        <w:jc w:val="start"/>
        <w:rPr>
          <w:rFonts w:ascii="Times New Roman" w:hAnsi="Times New Roman"/>
        </w:rPr>
      </w:pPr>
      <w:r>
        <w:rPr>
          <w:rFonts w:ascii="Times New Roman" w:hAnsi="Times New Roman"/>
        </w:rPr>
        <w:t xml:space="preserve">Полоса пропускания и добротность параллельного контура вычисляются по тем же формулам, что и для последовательного: </w:t>
      </w:r>
      <w:r>
        <w:rPr>
          <w:rFonts w:ascii="Times New Roman" w:hAnsi="Times New Roman"/>
          <w:b/>
          <w:bCs/>
        </w:rPr>
        <w:t>Δf=fv−fn  ,  Q=</w:t>
      </w:r>
      <w:r>
        <w:rPr>
          <w:rFonts w:ascii="Times New Roman" w:hAnsi="Times New Roman"/>
          <w:b/>
          <w:bCs/>
          <w:position w:val="0"/>
          <w:sz w:val="24"/>
          <w:sz w:val="24"/>
          <w:vertAlign w:val="baseline"/>
        </w:rPr>
        <w:t>f</w:t>
      </w:r>
      <w:r>
        <w:rPr>
          <w:rFonts w:ascii="Times New Roman" w:hAnsi="Times New Roman"/>
          <w:b/>
          <w:bCs/>
          <w:vertAlign w:val="subscript"/>
        </w:rPr>
        <w:t>0</w:t>
      </w:r>
      <w:r>
        <w:rPr>
          <w:rFonts w:ascii="Times New Roman" w:hAnsi="Times New Roman"/>
          <w:b/>
          <w:bCs/>
          <w:position w:val="0"/>
          <w:sz w:val="24"/>
          <w:sz w:val="24"/>
          <w:vertAlign w:val="baseline"/>
        </w:rPr>
        <w:t>/Δf</w:t>
      </w:r>
    </w:p>
    <w:p>
      <w:pPr>
        <w:pStyle w:val="BodyText"/>
        <w:bidi w:val="0"/>
        <w:spacing w:lineRule="auto" w:line="276" w:before="0" w:after="140"/>
        <w:ind w:firstLine="850" w:start="0" w:end="0"/>
        <w:jc w:val="start"/>
        <w:rPr>
          <w:rFonts w:ascii="Times New Roman" w:hAnsi="Times New Roman"/>
        </w:rPr>
      </w:pPr>
      <w:r>
        <w:rPr>
          <w:rFonts w:ascii="Times New Roman" w:hAnsi="Times New Roman"/>
        </w:rPr>
        <w:t>При воздействии скачка напряжения на емкости hC(t) в контуре с Q&gt;1 возникает затухающий колебательный процесс, описываемый переходной характеристикой:</w:t>
      </w:r>
    </w:p>
    <w:p>
      <w:pPr>
        <w:pStyle w:val="BodyText"/>
        <w:bidi w:val="0"/>
        <w:spacing w:lineRule="auto" w:line="276" w:before="0" w:after="140"/>
        <w:ind w:hanging="0" w:start="0" w:end="0"/>
        <w:jc w:val="start"/>
        <w:rPr>
          <w:rFonts w:ascii="Times New Roman" w:hAnsi="Times New Roman"/>
        </w:rPr>
      </w:pPr>
      <w:r>
        <w:rPr>
          <w:rFonts w:ascii="Times New Roman" w:hAnsi="Times New Roman"/>
          <w:b/>
          <w:bCs/>
        </w:rPr>
        <w:t>h</w:t>
      </w:r>
      <w:r>
        <w:rPr>
          <w:rFonts w:ascii="Times New Roman" w:hAnsi="Times New Roman"/>
          <w:b/>
          <w:bCs/>
          <w:vertAlign w:val="subscript"/>
        </w:rPr>
        <w:t>C</w:t>
      </w:r>
      <w:r>
        <w:rPr>
          <w:rFonts w:ascii="Times New Roman" w:hAnsi="Times New Roman"/>
          <w:b/>
          <w:bCs/>
        </w:rPr>
        <w:t>(t)=U</w:t>
      </w:r>
      <w:r>
        <w:rPr>
          <w:rFonts w:ascii="Times New Roman" w:hAnsi="Times New Roman"/>
          <w:b/>
          <w:bCs/>
          <w:vertAlign w:val="subscript"/>
        </w:rPr>
        <w:t>C</w:t>
      </w:r>
      <w:r>
        <w:rPr>
          <w:rFonts w:ascii="Times New Roman" w:hAnsi="Times New Roman"/>
          <w:b/>
          <w:bCs/>
        </w:rPr>
        <w:t>(t)/E</w:t>
      </w:r>
      <w:r>
        <w:rPr>
          <w:rFonts w:ascii="Times New Roman" w:hAnsi="Times New Roman"/>
          <w:b/>
          <w:bCs/>
          <w:vertAlign w:val="subscript"/>
        </w:rPr>
        <w:t>0</w:t>
      </w:r>
      <w:r>
        <w:rPr>
          <w:rFonts w:ascii="Times New Roman" w:hAnsi="Times New Roman"/>
          <w:b/>
          <w:bCs/>
        </w:rPr>
        <w:t>=1−e</w:t>
      </w:r>
      <w:r>
        <w:rPr>
          <w:rFonts w:ascii="Times New Roman" w:hAnsi="Times New Roman"/>
          <w:b/>
          <w:bCs/>
          <w:vertAlign w:val="superscript"/>
        </w:rPr>
        <w:t>−δt</w:t>
      </w:r>
      <w:r>
        <w:rPr>
          <w:rFonts w:ascii="Times New Roman" w:hAnsi="Times New Roman"/>
          <w:b/>
          <w:bCs/>
        </w:rPr>
        <w:t>(cosω</w:t>
      </w:r>
      <w:r>
        <w:rPr>
          <w:rFonts w:ascii="Times New Roman" w:hAnsi="Times New Roman"/>
          <w:b/>
          <w:bCs/>
          <w:vertAlign w:val="subscript"/>
        </w:rPr>
        <w:t>1</w:t>
      </w:r>
      <w:r>
        <w:rPr>
          <w:rFonts w:ascii="Times New Roman" w:hAnsi="Times New Roman"/>
          <w:b/>
          <w:bCs/>
        </w:rPr>
        <w:t>t+δ/ω</w:t>
      </w:r>
      <w:r>
        <w:rPr>
          <w:rFonts w:ascii="Times New Roman" w:hAnsi="Times New Roman"/>
          <w:b/>
          <w:bCs/>
          <w:vertAlign w:val="subscript"/>
        </w:rPr>
        <w:t>1</w:t>
      </w:r>
      <w:r>
        <w:rPr>
          <w:rFonts w:ascii="Times New Roman" w:hAnsi="Times New Roman"/>
          <w:b/>
          <w:bCs/>
        </w:rPr>
        <w:t>sinω</w:t>
      </w:r>
      <w:r>
        <w:rPr>
          <w:rFonts w:ascii="Times New Roman" w:hAnsi="Times New Roman"/>
          <w:b/>
          <w:bCs/>
          <w:vertAlign w:val="subscript"/>
        </w:rPr>
        <w:t>1</w:t>
      </w:r>
      <w:r>
        <w:rPr>
          <w:rFonts w:ascii="Times New Roman" w:hAnsi="Times New Roman"/>
          <w:b/>
          <w:bCs/>
        </w:rPr>
        <w:t>t</w:t>
      </w:r>
      <w:r>
        <w:rPr>
          <w:rFonts w:ascii="Times New Roman" w:hAnsi="Times New Roman"/>
        </w:rPr>
        <w:t xml:space="preserve">), где </w:t>
      </w:r>
      <w:r>
        <w:rPr>
          <w:rFonts w:ascii="Times New Roman" w:hAnsi="Times New Roman"/>
          <w:b/>
          <w:bCs/>
        </w:rPr>
        <w:t>δ=R/2L=</w:t>
      </w:r>
      <w:r>
        <w:rPr>
          <w:rFonts w:ascii="Times New Roman" w:hAnsi="Times New Roman"/>
          <w:b/>
          <w:bCs/>
          <w:position w:val="0"/>
          <w:sz w:val="24"/>
          <w:sz w:val="24"/>
          <w:vertAlign w:val="baseline"/>
        </w:rPr>
        <w:t>ω</w:t>
      </w:r>
      <w:r>
        <w:rPr>
          <w:rFonts w:ascii="Times New Roman" w:hAnsi="Times New Roman"/>
          <w:b/>
          <w:bCs/>
          <w:vertAlign w:val="subscript"/>
        </w:rPr>
        <w:t>0</w:t>
      </w:r>
      <w:r>
        <w:rPr>
          <w:rFonts w:ascii="Times New Roman" w:hAnsi="Times New Roman"/>
          <w:b/>
          <w:bCs/>
          <w:position w:val="0"/>
          <w:sz w:val="24"/>
          <w:sz w:val="24"/>
          <w:vertAlign w:val="baseline"/>
        </w:rPr>
        <w:t>/2Q</w:t>
      </w:r>
      <w:r>
        <w:rPr>
          <w:rFonts w:ascii="Times New Roman" w:hAnsi="Times New Roman"/>
        </w:rPr>
        <w:t>— коэффициент затухания,</w:t>
      </w:r>
      <w:r>
        <w:rPr>
          <w:rFonts w:ascii="Times New Roman" w:hAnsi="Times New Roman"/>
          <w:b/>
          <w:bCs/>
        </w:rPr>
        <w:t>ω</w:t>
      </w:r>
      <w:r>
        <w:rPr>
          <w:rFonts w:ascii="Times New Roman" w:hAnsi="Times New Roman"/>
          <w:b/>
          <w:bCs/>
          <w:vertAlign w:val="subscript"/>
        </w:rPr>
        <w:t>1</w:t>
      </w:r>
      <w:r>
        <w:rPr>
          <w:rFonts w:ascii="Times New Roman" w:hAnsi="Times New Roman"/>
          <w:b/>
          <w:bCs/>
        </w:rPr>
        <w:t>=√(ω</w:t>
      </w:r>
      <w:r>
        <w:rPr>
          <w:rFonts w:ascii="Times New Roman" w:hAnsi="Times New Roman"/>
          <w:b/>
          <w:bCs/>
          <w:vertAlign w:val="subscript"/>
        </w:rPr>
        <w:t>0</w:t>
      </w:r>
      <w:r>
        <w:rPr>
          <w:rFonts w:ascii="Times New Roman" w:hAnsi="Times New Roman"/>
          <w:b/>
          <w:bCs/>
          <w:vertAlign w:val="superscript"/>
        </w:rPr>
        <w:t>2</w:t>
      </w:r>
      <w:r>
        <w:rPr>
          <w:rFonts w:ascii="Times New Roman" w:hAnsi="Times New Roman"/>
          <w:b/>
          <w:bCs/>
        </w:rPr>
        <w:t>−δ</w:t>
      </w:r>
      <w:r>
        <w:rPr>
          <w:rFonts w:ascii="Times New Roman" w:hAnsi="Times New Roman"/>
          <w:b/>
          <w:bCs/>
          <w:vertAlign w:val="superscript"/>
        </w:rPr>
        <w:t>2</w:t>
      </w:r>
      <w:r>
        <w:rPr>
          <w:rFonts w:ascii="Times New Roman" w:hAnsi="Times New Roman"/>
          <w:b/>
          <w:bCs/>
          <w:position w:val="0"/>
          <w:sz w:val="24"/>
          <w:sz w:val="24"/>
          <w:vertAlign w:val="baseline"/>
        </w:rPr>
        <w:t>)</w:t>
      </w:r>
      <w:r>
        <w:rPr>
          <w:rFonts w:ascii="Times New Roman" w:hAnsi="Times New Roman"/>
          <w:b/>
          <w:bCs/>
        </w:rPr>
        <w:t>=ω</w:t>
      </w:r>
      <w:r>
        <w:rPr>
          <w:rFonts w:ascii="Times New Roman" w:hAnsi="Times New Roman"/>
          <w:b/>
          <w:bCs/>
          <w:vertAlign w:val="subscript"/>
        </w:rPr>
        <w:t>0</w:t>
      </w:r>
      <w:r>
        <w:rPr>
          <w:rFonts w:ascii="Times New Roman" w:hAnsi="Times New Roman"/>
          <w:b/>
          <w:bCs/>
        </w:rPr>
        <w:t>√(1−1/(2Q)</w:t>
      </w:r>
      <w:r>
        <w:rPr>
          <w:rFonts w:ascii="Times New Roman" w:hAnsi="Times New Roman"/>
          <w:b/>
          <w:bCs/>
          <w:vertAlign w:val="superscript"/>
        </w:rPr>
        <w:t>2</w:t>
      </w:r>
      <w:r>
        <w:rPr>
          <w:rFonts w:ascii="Times New Roman" w:hAnsi="Times New Roman"/>
          <w:b/>
          <w:bCs/>
        </w:rPr>
        <w:t>)</w:t>
      </w:r>
      <w:r>
        <w:rPr>
          <w:rFonts w:ascii="Times New Roman" w:hAnsi="Times New Roman"/>
        </w:rPr>
        <w:t>.</w:t>
      </w:r>
    </w:p>
    <w:p>
      <w:pPr>
        <w:pStyle w:val="BodyText"/>
        <w:bidi w:val="0"/>
        <w:ind w:hanging="0" w:start="0" w:end="0"/>
        <w:jc w:val="start"/>
        <w:rPr>
          <w:rFonts w:ascii="Times New Roman" w:hAnsi="Times New Roman"/>
        </w:rPr>
      </w:pPr>
      <w:r>
        <w:rPr>
          <w:rFonts w:ascii="Times New Roman" w:hAnsi="Times New Roman"/>
        </w:rPr>
        <w:t xml:space="preserve">Переходная характеристика ограничена огибающими:  </w:t>
      </w:r>
      <w:r>
        <w:rPr>
          <w:rFonts w:ascii="Times New Roman" w:hAnsi="Times New Roman"/>
          <w:b/>
          <w:bCs/>
        </w:rPr>
        <w:t>h</w:t>
      </w:r>
      <w:r>
        <w:rPr>
          <w:rFonts w:ascii="Times New Roman" w:hAnsi="Times New Roman"/>
          <w:b/>
          <w:bCs/>
          <w:vertAlign w:val="subscript"/>
        </w:rPr>
        <w:t>B</w:t>
      </w:r>
      <w:r>
        <w:rPr>
          <w:rFonts w:ascii="Times New Roman" w:hAnsi="Times New Roman"/>
          <w:b/>
          <w:bCs/>
        </w:rPr>
        <w:t>(t)=1+e</w:t>
      </w:r>
      <w:r>
        <w:rPr>
          <w:rFonts w:ascii="Times New Roman" w:hAnsi="Times New Roman"/>
          <w:b/>
          <w:bCs/>
          <w:vertAlign w:val="superscript"/>
        </w:rPr>
        <w:t xml:space="preserve">−δt </w:t>
      </w:r>
      <w:r>
        <w:rPr>
          <w:rFonts w:ascii="Times New Roman" w:hAnsi="Times New Roman"/>
        </w:rPr>
        <w:t xml:space="preserve">, </w:t>
      </w:r>
      <w:r>
        <w:rPr>
          <w:rFonts w:ascii="Times New Roman" w:hAnsi="Times New Roman"/>
          <w:b/>
          <w:bCs/>
        </w:rPr>
        <w:t>h</w:t>
      </w:r>
      <w:r>
        <w:rPr>
          <w:rFonts w:ascii="Times New Roman" w:hAnsi="Times New Roman"/>
          <w:b/>
          <w:bCs/>
          <w:vertAlign w:val="subscript"/>
        </w:rPr>
        <w:t>H</w:t>
      </w:r>
      <w:r>
        <w:rPr>
          <w:rFonts w:ascii="Times New Roman" w:hAnsi="Times New Roman"/>
          <w:b/>
          <w:bCs/>
        </w:rPr>
        <w:t>(t)=1−e</w:t>
      </w:r>
      <w:r>
        <w:rPr>
          <w:rFonts w:ascii="Times New Roman" w:hAnsi="Times New Roman"/>
          <w:b/>
          <w:bCs/>
          <w:vertAlign w:val="superscript"/>
        </w:rPr>
        <w:t>−δt</w:t>
      </w:r>
      <w:r>
        <w:rPr>
          <w:rFonts w:ascii="Times New Roman" w:hAnsi="Times New Roman"/>
          <w:b/>
          <w:bCs/>
        </w:rPr>
        <w:t>.</w:t>
      </w:r>
    </w:p>
    <w:p>
      <w:pPr>
        <w:pStyle w:val="BodyText"/>
        <w:bidi w:val="0"/>
        <w:spacing w:lineRule="auto" w:line="276" w:before="0" w:after="140"/>
        <w:ind w:firstLine="850" w:start="0" w:end="0"/>
        <w:jc w:val="start"/>
        <w:rPr>
          <w:rFonts w:ascii="Times New Roman" w:hAnsi="Times New Roman"/>
        </w:rPr>
      </w:pPr>
      <w:r>
        <w:rPr>
          <w:rFonts w:ascii="Times New Roman" w:hAnsi="Times New Roman"/>
        </w:rPr>
        <w:t>При малых значениях добротности Q≤5 процесс апериодический (без колебаний), а при увеличении Q частота колебаний ω1 приближается к резонансной ω0, а затухание уменьшается, переходя в затухающие колебания. Количество периодов, за которое амплитуда уменьшается в 10 раз, примерно равно добротности Q.</w:t>
      </w:r>
    </w:p>
    <w:p>
      <w:pPr>
        <w:pStyle w:val="BodyText"/>
        <w:bidi w:val="0"/>
        <w:spacing w:lineRule="auto" w:line="276" w:before="0" w:after="140"/>
        <w:ind w:firstLine="850" w:start="0" w:end="0"/>
        <w:jc w:val="start"/>
        <w:rPr>
          <w:rFonts w:ascii="Times New Roman" w:hAnsi="Times New Roman"/>
        </w:rPr>
      </w:pPr>
      <w:r>
        <w:rPr>
          <w:rFonts w:ascii="Times New Roman" w:hAnsi="Times New Roman"/>
          <w:b/>
          <w:bCs/>
        </w:rPr>
        <w:t>Фильтрующие свойства колебательного контура</w:t>
      </w:r>
      <w:r>
        <w:rPr>
          <w:rFonts w:ascii="Times New Roman" w:hAnsi="Times New Roman"/>
        </w:rPr>
        <w:t>. Важной особенностью контура является способность выделить из суммы колебаний различных частот те колебания, которые лежат вблизи резонансной частоты и подавлять сигналы, частоты которых находятся за пределами полосы пропускания контура. Это свойство называется частотной избирательностью.</w:t>
      </w:r>
    </w:p>
    <w:p>
      <w:pPr>
        <w:pStyle w:val="BodyText"/>
        <w:bidi w:val="0"/>
        <w:spacing w:lineRule="auto" w:line="276" w:before="0" w:after="140"/>
        <w:ind w:hanging="0" w:start="0" w:end="0"/>
        <w:jc w:val="start"/>
        <w:rPr>
          <w:rFonts w:ascii="Times New Roman" w:hAnsi="Times New Roman"/>
        </w:rPr>
      </w:pPr>
      <w:r>
        <w:rPr>
          <w:rFonts w:ascii="Times New Roman" w:hAnsi="Times New Roman"/>
        </w:rPr>
        <w:drawing>
          <wp:anchor behindDoc="0" distT="0" distB="0" distL="0" distR="0" simplePos="0" locked="0" layoutInCell="0" allowOverlap="1" relativeHeight="7">
            <wp:simplePos x="0" y="0"/>
            <wp:positionH relativeFrom="column">
              <wp:posOffset>12700</wp:posOffset>
            </wp:positionH>
            <wp:positionV relativeFrom="paragraph">
              <wp:posOffset>-74295</wp:posOffset>
            </wp:positionV>
            <wp:extent cx="2616200" cy="233680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2616200" cy="2336800"/>
                    </a:xfrm>
                    <a:prstGeom prst="rect">
                      <a:avLst/>
                    </a:prstGeom>
                    <a:noFill/>
                  </pic:spPr>
                </pic:pic>
              </a:graphicData>
            </a:graphic>
          </wp:anchor>
        </w:drawing>
      </w:r>
    </w:p>
    <w:p>
      <w:pPr>
        <w:pStyle w:val="BodyText"/>
        <w:bidi w:val="0"/>
        <w:spacing w:lineRule="auto" w:line="276" w:before="0" w:after="140"/>
        <w:ind w:hanging="0" w:start="0" w:end="0"/>
        <w:jc w:val="start"/>
        <w:rPr>
          <w:rFonts w:ascii="Times New Roman" w:hAnsi="Times New Roman"/>
        </w:rPr>
      </w:pPr>
      <w:r>
        <w:rPr>
          <w:rFonts w:ascii="Times New Roman" w:hAnsi="Times New Roman"/>
        </w:rPr>
      </w:r>
    </w:p>
    <w:p>
      <w:pPr>
        <w:pStyle w:val="BodyText"/>
        <w:bidi w:val="0"/>
        <w:spacing w:lineRule="auto" w:line="276" w:before="0" w:after="140"/>
        <w:ind w:hanging="0" w:start="0" w:end="0"/>
        <w:jc w:val="start"/>
        <w:rPr>
          <w:rFonts w:ascii="Times New Roman" w:hAnsi="Times New Roman"/>
        </w:rPr>
      </w:pPr>
      <w:r>
        <w:rPr>
          <w:rFonts w:ascii="Times New Roman" w:hAnsi="Times New Roman"/>
        </w:rPr>
      </w:r>
    </w:p>
    <w:p>
      <w:pPr>
        <w:pStyle w:val="BodyText"/>
        <w:bidi w:val="0"/>
        <w:spacing w:lineRule="auto" w:line="276" w:before="0" w:after="140"/>
        <w:ind w:hanging="0" w:start="0" w:end="0"/>
        <w:jc w:val="start"/>
        <w:rPr>
          <w:rFonts w:ascii="Times New Roman" w:hAnsi="Times New Roman"/>
        </w:rPr>
      </w:pPr>
      <w:r>
        <w:rPr>
          <w:rFonts w:ascii="Times New Roman" w:hAnsi="Times New Roman"/>
        </w:rPr>
        <w:t>Рис.1.4. Переходная характеристика напряжения на емкости последовательного колебательного контура.</w:t>
      </w:r>
    </w:p>
    <w:p>
      <w:pPr>
        <w:pStyle w:val="BodyText"/>
        <w:bidi w:val="0"/>
        <w:spacing w:lineRule="auto" w:line="276" w:before="0" w:after="140"/>
        <w:ind w:hanging="0" w:start="0" w:end="0"/>
        <w:jc w:val="start"/>
        <w:rPr>
          <w:rFonts w:ascii="Times New Roman" w:hAnsi="Times New Roman"/>
        </w:rPr>
      </w:pPr>
      <w:r>
        <w:rPr>
          <w:rFonts w:ascii="Times New Roman" w:hAnsi="Times New Roman"/>
        </w:rPr>
      </w:r>
    </w:p>
    <w:p>
      <w:pPr>
        <w:pStyle w:val="BodyText"/>
        <w:bidi w:val="0"/>
        <w:spacing w:lineRule="auto" w:line="276" w:before="0" w:after="140"/>
        <w:ind w:hanging="0" w:start="0" w:end="0"/>
        <w:jc w:val="start"/>
        <w:rPr>
          <w:rFonts w:ascii="Times New Roman" w:hAnsi="Times New Roman"/>
        </w:rPr>
      </w:pPr>
      <w:r>
        <w:rPr>
          <w:rFonts w:ascii="Times New Roman" w:hAnsi="Times New Roman"/>
        </w:rPr>
      </w:r>
    </w:p>
    <w:p>
      <w:pPr>
        <w:pStyle w:val="BodyText"/>
        <w:bidi w:val="0"/>
        <w:spacing w:lineRule="auto" w:line="276" w:before="0" w:after="140"/>
        <w:ind w:hanging="0" w:start="0" w:end="0"/>
        <w:jc w:val="start"/>
        <w:rPr>
          <w:rFonts w:ascii="Times New Roman" w:hAnsi="Times New Roman"/>
        </w:rPr>
      </w:pPr>
      <w:r>
        <w:rPr>
          <w:rFonts w:ascii="Times New Roman" w:hAnsi="Times New Roman"/>
        </w:rPr>
      </w:r>
    </w:p>
    <w:p>
      <w:pPr>
        <w:pStyle w:val="BodyText"/>
        <w:bidi w:val="0"/>
        <w:spacing w:lineRule="auto" w:line="276" w:before="0" w:after="140"/>
        <w:ind w:hanging="0" w:start="0" w:end="0"/>
        <w:jc w:val="start"/>
        <w:rPr>
          <w:rFonts w:ascii="Times New Roman" w:hAnsi="Times New Roman"/>
        </w:rPr>
      </w:pPr>
      <w:r>
        <w:rPr>
          <w:rFonts w:ascii="Times New Roman" w:hAnsi="Times New Roman"/>
        </w:rPr>
      </w:r>
    </w:p>
    <w:p>
      <w:pPr>
        <w:pStyle w:val="BodyText"/>
        <w:bidi w:val="0"/>
        <w:spacing w:lineRule="auto" w:line="276" w:before="0" w:after="140"/>
        <w:ind w:firstLine="850" w:start="0" w:end="0"/>
        <w:jc w:val="start"/>
        <w:rPr>
          <w:rFonts w:ascii="Times New Roman" w:hAnsi="Times New Roman"/>
        </w:rPr>
      </w:pPr>
      <w:r>
        <w:rPr>
          <w:rFonts w:ascii="Times New Roman" w:hAnsi="Times New Roman"/>
        </w:rPr>
        <w:t>Для входного сигнала с частотой ω0 коэффициент передачи К=Q&gt;&gt;1, в то время как для сигналов с частотой за пределами полосы пропускания коэффициент передачи значительно меньше. Следовательно, на выходе цепи будут преобладать сигналы с частотами находящимися в полосе пропускания контура, а сигналы с частотами за пределами полосы пропускания будут подавляться.</w:t>
      </w:r>
    </w:p>
    <w:p>
      <w:pPr>
        <w:pStyle w:val="BodyText"/>
        <w:bidi w:val="0"/>
        <w:spacing w:lineRule="auto" w:line="276" w:before="0" w:after="26"/>
        <w:ind w:hanging="0" w:start="0" w:end="0"/>
        <w:jc w:val="center"/>
        <w:rPr>
          <w:rFonts w:ascii="Times New Roman" w:hAnsi="Times New Roman"/>
          <w:b/>
          <w:bCs/>
        </w:rPr>
      </w:pPr>
      <w:r>
        <w:rPr>
          <w:rFonts w:ascii="Times New Roman" w:hAnsi="Times New Roman"/>
          <w:b/>
          <w:bCs/>
        </w:rPr>
        <w:t>2. Описание лабораторного макета</w:t>
      </w:r>
    </w:p>
    <w:p>
      <w:pPr>
        <w:pStyle w:val="BodyText"/>
        <w:bidi w:val="0"/>
        <w:spacing w:lineRule="auto" w:line="276" w:before="0" w:after="26"/>
        <w:ind w:firstLine="850" w:start="0" w:end="0"/>
        <w:jc w:val="start"/>
        <w:rPr>
          <w:rFonts w:ascii="Times New Roman" w:hAnsi="Times New Roman"/>
          <w:b w:val="false"/>
          <w:bCs w:val="false"/>
        </w:rPr>
      </w:pPr>
      <w:r>
        <w:rPr>
          <w:rFonts w:ascii="Times New Roman" w:hAnsi="Times New Roman"/>
          <w:b w:val="false"/>
          <w:bCs w:val="false"/>
        </w:rPr>
        <w:t>В лабораторном макете для исследования последовательного и параллельного колебательного контура используются две электрические схемы, показанные на рис. 2.1 и 2.2. В обеих схемах применяются одинаковые элементы — катушка индуктивности L и конденсатор C.</w:t>
      </w:r>
    </w:p>
    <w:p>
      <w:pPr>
        <w:pStyle w:val="BodyText"/>
        <w:bidi w:val="0"/>
        <w:spacing w:lineRule="auto" w:line="276" w:before="0" w:after="140"/>
        <w:ind w:hanging="0" w:start="0" w:end="0"/>
        <w:jc w:val="start"/>
        <w:rPr>
          <w:rFonts w:ascii="Times New Roman" w:hAnsi="Times New Roman"/>
          <w:b w:val="false"/>
          <w:bCs w:val="false"/>
        </w:rPr>
      </w:pPr>
      <w:r>
        <w:rPr>
          <w:rFonts w:ascii="Times New Roman" w:hAnsi="Times New Roman"/>
          <w:b w:val="false"/>
          <w:bCs w:val="false"/>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3683000" cy="107950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3683000" cy="1079500"/>
                    </a:xfrm>
                    <a:prstGeom prst="rect">
                      <a:avLst/>
                    </a:prstGeom>
                    <a:noFill/>
                  </pic:spPr>
                </pic:pic>
              </a:graphicData>
            </a:graphic>
          </wp:anchor>
        </w:drawing>
      </w:r>
    </w:p>
    <w:p>
      <w:pPr>
        <w:pStyle w:val="BodyText"/>
        <w:bidi w:val="0"/>
        <w:ind w:hanging="0" w:start="0" w:end="0"/>
        <w:jc w:val="start"/>
        <w:rPr>
          <w:rFonts w:ascii="Times New Roman" w:hAnsi="Times New Roman"/>
          <w:b w:val="false"/>
          <w:bCs w:val="false"/>
        </w:rPr>
      </w:pPr>
      <w:r>
        <w:rPr>
          <w:rFonts w:ascii="Times New Roman" w:hAnsi="Times New Roman"/>
          <w:b w:val="false"/>
          <w:bCs w:val="false"/>
        </w:rPr>
      </w:r>
    </w:p>
    <w:p>
      <w:pPr>
        <w:pStyle w:val="BodyText"/>
        <w:bidi w:val="0"/>
        <w:ind w:hanging="0" w:start="0" w:end="0"/>
        <w:jc w:val="start"/>
        <w:rPr>
          <w:rFonts w:ascii="Times New Roman" w:hAnsi="Times New Roman"/>
          <w:b w:val="false"/>
          <w:bCs w:val="false"/>
        </w:rPr>
      </w:pPr>
      <w:r>
        <w:rPr>
          <w:rFonts w:ascii="Times New Roman" w:hAnsi="Times New Roman"/>
          <w:b w:val="false"/>
          <w:bCs w:val="false"/>
        </w:rPr>
      </w:r>
    </w:p>
    <w:p>
      <w:pPr>
        <w:pStyle w:val="BodyText"/>
        <w:bidi w:val="0"/>
        <w:ind w:hanging="0" w:start="0" w:end="0"/>
        <w:jc w:val="start"/>
        <w:rPr>
          <w:rFonts w:ascii="Times New Roman" w:hAnsi="Times New Roman"/>
          <w:b w:val="false"/>
          <w:bCs w:val="false"/>
        </w:rPr>
      </w:pPr>
      <w:r>
        <w:rPr>
          <w:rFonts w:ascii="Times New Roman" w:hAnsi="Times New Roman"/>
          <w:b w:val="false"/>
          <w:bCs w:val="false"/>
        </w:rPr>
      </w:r>
    </w:p>
    <w:p>
      <w:pPr>
        <w:pStyle w:val="BodyText"/>
        <w:bidi w:val="0"/>
        <w:ind w:hanging="0" w:start="0" w:end="0"/>
        <w:jc w:val="start"/>
        <w:rPr>
          <w:rFonts w:ascii="Times New Roman" w:hAnsi="Times New Roman"/>
          <w:b w:val="false"/>
          <w:bCs w:val="false"/>
        </w:rPr>
      </w:pPr>
      <w:r>
        <w:rPr>
          <w:rFonts w:ascii="Times New Roman" w:hAnsi="Times New Roman"/>
          <w:b w:val="false"/>
          <w:bCs w:val="false"/>
        </w:rPr>
        <w:t>Рис.2.1. Электрическая схема для исследования характеристик последовательного колебательного LC – контура</w:t>
      </w:r>
    </w:p>
    <w:p>
      <w:pPr>
        <w:pStyle w:val="BodyText"/>
        <w:bidi w:val="0"/>
        <w:ind w:hanging="0" w:start="0" w:end="0"/>
        <w:jc w:val="start"/>
        <w:rPr>
          <w:rFonts w:ascii="Times New Roman" w:hAnsi="Times New Roman"/>
          <w:b w:val="false"/>
          <w:bCs w:val="false"/>
        </w:rPr>
      </w:pPr>
      <w:r>
        <w:rPr>
          <w:rFonts w:ascii="Times New Roman" w:hAnsi="Times New Roman"/>
          <w:b w:val="false"/>
          <w:bCs w:val="false"/>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467100" cy="110490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3467100" cy="1104900"/>
                    </a:xfrm>
                    <a:prstGeom prst="rect">
                      <a:avLst/>
                    </a:prstGeom>
                    <a:noFill/>
                  </pic:spPr>
                </pic:pic>
              </a:graphicData>
            </a:graphic>
          </wp:anchor>
        </w:drawing>
      </w:r>
    </w:p>
    <w:p>
      <w:pPr>
        <w:pStyle w:val="BodyText"/>
        <w:bidi w:val="0"/>
        <w:ind w:hanging="0" w:start="0" w:end="0"/>
        <w:jc w:val="start"/>
        <w:rPr>
          <w:rFonts w:ascii="Times New Roman" w:hAnsi="Times New Roman"/>
          <w:b w:val="false"/>
          <w:bCs w:val="false"/>
        </w:rPr>
      </w:pPr>
      <w:r>
        <w:rPr>
          <w:rFonts w:ascii="Times New Roman" w:hAnsi="Times New Roman"/>
          <w:b w:val="false"/>
          <w:bCs w:val="false"/>
        </w:rPr>
      </w:r>
    </w:p>
    <w:p>
      <w:pPr>
        <w:pStyle w:val="BodyText"/>
        <w:bidi w:val="0"/>
        <w:ind w:hanging="0" w:start="0" w:end="0"/>
        <w:jc w:val="start"/>
        <w:rPr>
          <w:rFonts w:ascii="Times New Roman" w:hAnsi="Times New Roman"/>
          <w:b w:val="false"/>
          <w:bCs w:val="false"/>
        </w:rPr>
      </w:pPr>
      <w:r>
        <w:rPr>
          <w:rFonts w:ascii="Times New Roman" w:hAnsi="Times New Roman"/>
          <w:b w:val="false"/>
          <w:bCs w:val="false"/>
        </w:rPr>
      </w:r>
    </w:p>
    <w:p>
      <w:pPr>
        <w:pStyle w:val="BodyText"/>
        <w:bidi w:val="0"/>
        <w:ind w:hanging="0" w:start="0" w:end="0"/>
        <w:jc w:val="start"/>
        <w:rPr>
          <w:rFonts w:ascii="Times New Roman" w:hAnsi="Times New Roman"/>
          <w:b w:val="false"/>
          <w:bCs w:val="false"/>
        </w:rPr>
      </w:pPr>
      <w:r>
        <w:rPr>
          <w:rFonts w:ascii="Times New Roman" w:hAnsi="Times New Roman"/>
          <w:b w:val="false"/>
          <w:bCs w:val="false"/>
        </w:rPr>
      </w:r>
    </w:p>
    <w:p>
      <w:pPr>
        <w:pStyle w:val="BodyText"/>
        <w:bidi w:val="0"/>
        <w:ind w:hanging="0" w:start="0" w:end="0"/>
        <w:jc w:val="start"/>
        <w:rPr>
          <w:rFonts w:ascii="Times New Roman" w:hAnsi="Times New Roman"/>
          <w:b w:val="false"/>
          <w:bCs w:val="false"/>
        </w:rPr>
      </w:pPr>
      <w:r>
        <w:rPr>
          <w:rFonts w:ascii="Times New Roman" w:hAnsi="Times New Roman"/>
          <w:b w:val="false"/>
          <w:bCs w:val="false"/>
        </w:rPr>
      </w:r>
    </w:p>
    <w:p>
      <w:pPr>
        <w:pStyle w:val="BodyText"/>
        <w:bidi w:val="0"/>
        <w:ind w:hanging="0" w:start="0" w:end="0"/>
        <w:jc w:val="start"/>
        <w:rPr>
          <w:rFonts w:ascii="Times New Roman" w:hAnsi="Times New Roman"/>
          <w:b w:val="false"/>
          <w:bCs w:val="false"/>
        </w:rPr>
      </w:pPr>
      <w:r>
        <w:rPr>
          <w:rFonts w:ascii="Times New Roman" w:hAnsi="Times New Roman"/>
          <w:b w:val="false"/>
          <w:bCs w:val="false"/>
        </w:rPr>
        <w:t>Рис.2.2. Электрическая схема для исследования характеристик параллельного колебательного LC – контура</w:t>
      </w:r>
    </w:p>
    <w:p>
      <w:pPr>
        <w:pStyle w:val="BodyText"/>
        <w:bidi w:val="0"/>
        <w:spacing w:lineRule="auto" w:line="276" w:before="0" w:after="140"/>
        <w:ind w:firstLine="850" w:start="0" w:end="0"/>
        <w:jc w:val="start"/>
        <w:rPr>
          <w:rFonts w:ascii="Times New Roman" w:hAnsi="Times New Roman"/>
          <w:b/>
          <w:bCs/>
        </w:rPr>
      </w:pPr>
      <w:r>
        <w:rPr>
          <w:rFonts w:ascii="Times New Roman" w:hAnsi="Times New Roman"/>
          <w:b w:val="false"/>
          <w:bCs w:val="false"/>
        </w:rPr>
        <w:t>Для проведения измерений используется генератор DG1032Z в роли источника</w:t>
      </w:r>
      <w:r>
        <w:rPr>
          <w:rFonts w:ascii="Times New Roman" w:hAnsi="Times New Roman"/>
          <w:b/>
          <w:bCs/>
        </w:rPr>
        <w:t xml:space="preserve"> </w:t>
      </w:r>
      <w:r>
        <w:rPr>
          <w:rFonts w:ascii="Times New Roman" w:hAnsi="Times New Roman"/>
          <w:b w:val="false"/>
          <w:bCs w:val="false"/>
        </w:rPr>
        <w:t>гармонических сигналов, цифровые мультиметры типа ДТ 9205 для замера действующих значений переменного тока и напряжения, а также двухканальный осциллограф DS1052E, позволяющий одновременно наблюдать и измерять напряжения на входе и выходе схем.</w:t>
      </w:r>
    </w:p>
    <w:p>
      <w:pPr>
        <w:pStyle w:val="BodyText"/>
        <w:bidi w:val="0"/>
        <w:spacing w:lineRule="auto" w:line="276" w:before="0" w:after="140"/>
        <w:ind w:firstLine="850" w:start="0" w:end="0"/>
        <w:jc w:val="start"/>
        <w:rPr>
          <w:rFonts w:ascii="Times New Roman" w:hAnsi="Times New Roman"/>
          <w:b w:val="false"/>
          <w:bCs w:val="false"/>
        </w:rPr>
      </w:pPr>
      <w:r>
        <w:rPr>
          <w:rFonts w:ascii="Times New Roman" w:hAnsi="Times New Roman"/>
          <w:b w:val="false"/>
          <w:bCs w:val="false"/>
        </w:rPr>
        <w:t>В схемах имеются ключи S (для последовательного контура) и S1 (для параллельного), которые замыкают цепи при отключении миллиамперметров. Предусмотрено совместное подключение осциллографа, фиксирующего амплитудные и действующие значения напряжений U1m, U2m, а также вольтметров для измерения только действующих значений U1 и U2.</w:t>
      </w:r>
    </w:p>
    <w:p>
      <w:pPr>
        <w:pStyle w:val="BodyText"/>
        <w:bidi w:val="0"/>
        <w:spacing w:lineRule="auto" w:line="276" w:before="0" w:after="140"/>
        <w:ind w:firstLine="850" w:start="0" w:end="0"/>
        <w:jc w:val="start"/>
        <w:rPr>
          <w:rFonts w:ascii="Times New Roman" w:hAnsi="Times New Roman"/>
          <w:b w:val="false"/>
          <w:bCs w:val="false"/>
        </w:rPr>
      </w:pPr>
      <w:r>
        <w:rPr>
          <w:rFonts w:ascii="Times New Roman" w:hAnsi="Times New Roman"/>
          <w:b w:val="false"/>
          <w:bCs w:val="false"/>
        </w:rPr>
        <w:t>В схеме последовательного контура низкоомный делитель напряжения (резисторы R1 и R2) служит для согласования генератора с колебательным контуром, обеспечивая режим генератора напряжения. В параллельной схеме резистор R1 обеспечивает работу генератора в режиме генератора тока.</w:t>
      </w:r>
    </w:p>
    <w:p>
      <w:pPr>
        <w:pStyle w:val="BodyText"/>
        <w:bidi w:val="0"/>
        <w:jc w:val="center"/>
        <w:rPr>
          <w:rFonts w:ascii="Times New Roman" w:hAnsi="Times New Roman"/>
          <w:b/>
          <w:bCs/>
        </w:rPr>
      </w:pPr>
      <w:r>
        <w:rPr>
          <w:rFonts w:ascii="Times New Roman" w:hAnsi="Times New Roman"/>
          <w:b/>
          <w:bCs/>
        </w:rPr>
        <w:t>3. Собраные данные</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6"/>
        <w:gridCol w:w="1"/>
        <w:gridCol w:w="1375"/>
        <w:gridCol w:w="1379"/>
      </w:tblGrid>
      <w:tr>
        <w:trPr/>
        <w:tc>
          <w:tcPr>
            <w:tcW w:w="1376" w:type="dxa"/>
            <w:vMerge w:val="restart"/>
            <w:tcBorders>
              <w:top w:val="single" w:sz="4" w:space="0" w:color="000000"/>
              <w:start w:val="single" w:sz="4" w:space="0" w:color="000000"/>
              <w:bottom w:val="single" w:sz="4" w:space="0" w:color="000000"/>
            </w:tcBorders>
          </w:tcPr>
          <w:p>
            <w:pPr>
              <w:pStyle w:val="TableContents"/>
              <w:bidi w:val="0"/>
              <w:jc w:val="center"/>
              <w:rPr>
                <w:rFonts w:ascii="Times New Roman" w:hAnsi="Times New Roman"/>
                <w:b/>
                <w:bCs/>
              </w:rPr>
            </w:pPr>
            <w:r>
              <w:rPr>
                <w:rFonts w:ascii="Times New Roman" w:hAnsi="Times New Roman"/>
                <w:b/>
                <w:bCs/>
              </w:rPr>
              <w:t>L</w:t>
            </w:r>
          </w:p>
        </w:tc>
        <w:tc>
          <w:tcPr>
            <w:tcW w:w="1376" w:type="dxa"/>
            <w:vMerge w:val="restart"/>
            <w:tcBorders>
              <w:top w:val="single" w:sz="4" w:space="0" w:color="000000"/>
              <w:start w:val="single" w:sz="4" w:space="0" w:color="000000"/>
              <w:bottom w:val="single" w:sz="4" w:space="0" w:color="000000"/>
            </w:tcBorders>
          </w:tcPr>
          <w:p>
            <w:pPr>
              <w:pStyle w:val="TableContents"/>
              <w:bidi w:val="0"/>
              <w:jc w:val="center"/>
              <w:rPr>
                <w:rFonts w:ascii="Times New Roman" w:hAnsi="Times New Roman"/>
                <w:b/>
                <w:bCs/>
              </w:rPr>
            </w:pPr>
            <w:r>
              <w:rPr>
                <w:rFonts w:ascii="Times New Roman" w:hAnsi="Times New Roman"/>
                <w:b/>
                <w:bCs/>
              </w:rPr>
              <w:t>C</w:t>
            </w:r>
          </w:p>
        </w:tc>
        <w:tc>
          <w:tcPr>
            <w:tcW w:w="1378" w:type="dxa"/>
            <w:vMerge w:val="restart"/>
            <w:tcBorders>
              <w:top w:val="single" w:sz="4" w:space="0" w:color="000000"/>
              <w:start w:val="single" w:sz="4" w:space="0" w:color="000000"/>
              <w:bottom w:val="single" w:sz="4" w:space="0" w:color="000000"/>
            </w:tcBorders>
          </w:tcPr>
          <w:p>
            <w:pPr>
              <w:pStyle w:val="TableContents"/>
              <w:bidi w:val="0"/>
              <w:jc w:val="center"/>
              <w:rPr>
                <w:rFonts w:ascii="Times New Roman" w:hAnsi="Times New Roman"/>
                <w:b/>
                <w:bCs/>
              </w:rPr>
            </w:pPr>
            <w:r>
              <w:rPr>
                <w:rFonts w:ascii="Times New Roman" w:hAnsi="Times New Roman"/>
                <w:b/>
                <w:bCs/>
              </w:rPr>
              <w:t>r</w:t>
            </w:r>
          </w:p>
        </w:tc>
        <w:tc>
          <w:tcPr>
            <w:tcW w:w="2753" w:type="dxa"/>
            <w:gridSpan w:val="2"/>
            <w:tcBorders>
              <w:top w:val="single" w:sz="4" w:space="0" w:color="000000"/>
              <w:start w:val="single" w:sz="4" w:space="0" w:color="000000"/>
              <w:bottom w:val="single" w:sz="4" w:space="0" w:color="000000"/>
            </w:tcBorders>
          </w:tcPr>
          <w:p>
            <w:pPr>
              <w:pStyle w:val="TableContents"/>
              <w:bidi w:val="0"/>
              <w:jc w:val="center"/>
              <w:rPr>
                <w:rFonts w:ascii="Times New Roman" w:hAnsi="Times New Roman"/>
                <w:b/>
                <w:bCs/>
              </w:rPr>
            </w:pPr>
            <w:r>
              <w:rPr>
                <w:rFonts w:ascii="Times New Roman" w:hAnsi="Times New Roman"/>
                <w:b/>
                <w:bCs/>
              </w:rPr>
              <w:t>f</w:t>
            </w:r>
            <w:r>
              <w:rPr>
                <w:rFonts w:ascii="Times New Roman" w:hAnsi="Times New Roman"/>
                <w:b/>
                <w:bCs/>
                <w:vertAlign w:val="subscript"/>
              </w:rPr>
              <w:t>0</w:t>
            </w:r>
          </w:p>
        </w:tc>
        <w:tc>
          <w:tcPr>
            <w:tcW w:w="1376" w:type="dxa"/>
            <w:gridSpan w:val="2"/>
            <w:vMerge w:val="restart"/>
            <w:tcBorders>
              <w:top w:val="single" w:sz="4" w:space="0" w:color="000000"/>
              <w:start w:val="single" w:sz="4" w:space="0" w:color="000000"/>
              <w:bottom w:val="single" w:sz="4" w:space="0" w:color="000000"/>
            </w:tcBorders>
          </w:tcPr>
          <w:p>
            <w:pPr>
              <w:pStyle w:val="TableContents"/>
              <w:bidi w:val="0"/>
              <w:jc w:val="center"/>
              <w:rPr>
                <w:rFonts w:ascii="Times New Roman" w:hAnsi="Times New Roman"/>
                <w:b/>
                <w:bCs/>
              </w:rPr>
            </w:pPr>
            <w:r>
              <w:rPr>
                <w:rFonts w:ascii="Times New Roman" w:hAnsi="Times New Roman"/>
                <w:b/>
                <w:bCs/>
              </w:rPr>
              <w:t>ρ</w:t>
            </w:r>
          </w:p>
        </w:tc>
        <w:tc>
          <w:tcPr>
            <w:tcW w:w="1379" w:type="dxa"/>
            <w:vMerge w:val="restart"/>
            <w:tcBorders>
              <w:top w:val="single" w:sz="4" w:space="0" w:color="000000"/>
              <w:start w:val="single" w:sz="4" w:space="0" w:color="000000"/>
              <w:bottom w:val="single" w:sz="4" w:space="0" w:color="000000"/>
              <w:end w:val="single" w:sz="4" w:space="0" w:color="000000"/>
            </w:tcBorders>
          </w:tcPr>
          <w:p>
            <w:pPr>
              <w:pStyle w:val="TableContents"/>
              <w:bidi w:val="0"/>
              <w:jc w:val="center"/>
              <w:rPr>
                <w:rFonts w:ascii="Times New Roman" w:hAnsi="Times New Roman"/>
                <w:b/>
                <w:bCs/>
              </w:rPr>
            </w:pPr>
            <w:r>
              <w:rPr>
                <w:rFonts w:ascii="Times New Roman" w:hAnsi="Times New Roman"/>
                <w:b/>
                <w:bCs/>
              </w:rPr>
              <w:t>Q</w:t>
            </w:r>
          </w:p>
        </w:tc>
      </w:tr>
      <w:tr>
        <w:trPr/>
        <w:tc>
          <w:tcPr>
            <w:tcW w:w="1376" w:type="dxa"/>
            <w:vMerge w:val="continue"/>
            <w:tcBorders>
              <w:top w:val="single" w:sz="4" w:space="0" w:color="000000"/>
              <w:start w:val="single" w:sz="4" w:space="0" w:color="000000"/>
              <w:bottom w:val="single" w:sz="4" w:space="0" w:color="000000"/>
            </w:tcBorders>
          </w:tcPr>
          <w:p>
            <w:pPr>
              <w:pStyle w:val="Normal"/>
              <w:bidi w:val="0"/>
              <w:jc w:val="start"/>
              <w:rPr/>
            </w:pPr>
            <w:r>
              <w:rPr/>
            </w:r>
          </w:p>
        </w:tc>
        <w:tc>
          <w:tcPr>
            <w:tcW w:w="1376" w:type="dxa"/>
            <w:vMerge w:val="continue"/>
            <w:tcBorders>
              <w:top w:val="single" w:sz="4" w:space="0" w:color="000000"/>
              <w:start w:val="single" w:sz="4" w:space="0" w:color="000000"/>
              <w:bottom w:val="single" w:sz="4" w:space="0" w:color="000000"/>
            </w:tcBorders>
          </w:tcPr>
          <w:p>
            <w:pPr>
              <w:pStyle w:val="Normal"/>
              <w:bidi w:val="0"/>
              <w:jc w:val="start"/>
              <w:rPr/>
            </w:pPr>
            <w:r>
              <w:rPr/>
            </w:r>
          </w:p>
        </w:tc>
        <w:tc>
          <w:tcPr>
            <w:tcW w:w="1378" w:type="dxa"/>
            <w:vMerge w:val="continue"/>
            <w:tcBorders>
              <w:top w:val="single" w:sz="4" w:space="0" w:color="000000"/>
              <w:start w:val="single" w:sz="4" w:space="0" w:color="000000"/>
              <w:bottom w:val="single" w:sz="4" w:space="0" w:color="000000"/>
            </w:tcBorders>
          </w:tcPr>
          <w:p>
            <w:pPr>
              <w:pStyle w:val="Normal"/>
              <w:bidi w:val="0"/>
              <w:jc w:val="start"/>
              <w:rPr/>
            </w:pPr>
            <w:r>
              <w:rPr/>
            </w:r>
          </w:p>
        </w:tc>
        <w:tc>
          <w:tcPr>
            <w:tcW w:w="1377" w:type="dxa"/>
            <w:tcBorders>
              <w:start w:val="single" w:sz="4" w:space="0" w:color="000000"/>
              <w:bottom w:val="single" w:sz="4" w:space="0" w:color="000000"/>
            </w:tcBorders>
          </w:tcPr>
          <w:p>
            <w:pPr>
              <w:pStyle w:val="TableContents"/>
              <w:bidi w:val="0"/>
              <w:jc w:val="center"/>
              <w:rPr>
                <w:rFonts w:ascii="Times New Roman" w:hAnsi="Times New Roman"/>
                <w:b/>
                <w:bCs/>
              </w:rPr>
            </w:pPr>
            <w:r>
              <w:rPr>
                <w:rFonts w:ascii="Times New Roman" w:hAnsi="Times New Roman"/>
                <w:b/>
                <w:bCs/>
              </w:rPr>
              <w:t>расчет</w:t>
            </w:r>
          </w:p>
        </w:tc>
        <w:tc>
          <w:tcPr>
            <w:tcW w:w="1377" w:type="dxa"/>
            <w:gridSpan w:val="2"/>
            <w:tcBorders>
              <w:start w:val="single" w:sz="4" w:space="0" w:color="000000"/>
              <w:bottom w:val="single" w:sz="4" w:space="0" w:color="000000"/>
            </w:tcBorders>
          </w:tcPr>
          <w:p>
            <w:pPr>
              <w:pStyle w:val="TableContents"/>
              <w:bidi w:val="0"/>
              <w:jc w:val="center"/>
              <w:rPr>
                <w:rFonts w:ascii="Times New Roman" w:hAnsi="Times New Roman"/>
                <w:b/>
                <w:bCs/>
              </w:rPr>
            </w:pPr>
            <w:r>
              <w:rPr>
                <w:rFonts w:ascii="Times New Roman" w:hAnsi="Times New Roman"/>
                <w:b/>
                <w:bCs/>
              </w:rPr>
              <w:t>измерение</w:t>
            </w:r>
          </w:p>
        </w:tc>
        <w:tc>
          <w:tcPr>
            <w:tcW w:w="1375" w:type="dxa"/>
            <w:vMerge w:val="continue"/>
            <w:tcBorders>
              <w:top w:val="single" w:sz="4" w:space="0" w:color="000000"/>
              <w:start w:val="single" w:sz="4" w:space="0" w:color="000000"/>
              <w:bottom w:val="single" w:sz="4" w:space="0" w:color="000000"/>
            </w:tcBorders>
          </w:tcPr>
          <w:p>
            <w:pPr>
              <w:pStyle w:val="Normal"/>
              <w:bidi w:val="0"/>
              <w:jc w:val="start"/>
              <w:rPr/>
            </w:pPr>
            <w:r>
              <w:rPr/>
            </w:r>
          </w:p>
        </w:tc>
        <w:tc>
          <w:tcPr>
            <w:tcW w:w="1379" w:type="dxa"/>
            <w:vMerge w:val="continue"/>
            <w:tcBorders>
              <w:top w:val="single" w:sz="4" w:space="0" w:color="000000"/>
              <w:start w:val="single" w:sz="4" w:space="0" w:color="000000"/>
              <w:bottom w:val="single" w:sz="4" w:space="0" w:color="000000"/>
              <w:end w:val="single" w:sz="4" w:space="0" w:color="000000"/>
            </w:tcBorders>
          </w:tcPr>
          <w:p>
            <w:pPr>
              <w:pStyle w:val="Normal"/>
              <w:bidi w:val="0"/>
              <w:jc w:val="start"/>
              <w:rPr/>
            </w:pPr>
            <w:r>
              <w:rPr/>
            </w:r>
          </w:p>
        </w:tc>
      </w:tr>
      <w:tr>
        <w:trPr/>
        <w:tc>
          <w:tcPr>
            <w:tcW w:w="1376" w:type="dxa"/>
            <w:tcBorders>
              <w:start w:val="single" w:sz="4" w:space="0" w:color="000000"/>
              <w:bottom w:val="single" w:sz="4" w:space="0" w:color="000000"/>
            </w:tcBorders>
          </w:tcPr>
          <w:p>
            <w:pPr>
              <w:pStyle w:val="TableContents"/>
              <w:bidi w:val="0"/>
              <w:jc w:val="center"/>
              <w:rPr>
                <w:rFonts w:ascii="Times New Roman" w:hAnsi="Times New Roman"/>
                <w:b/>
                <w:bCs/>
              </w:rPr>
            </w:pPr>
            <w:r>
              <w:rPr>
                <w:rFonts w:ascii="Times New Roman" w:hAnsi="Times New Roman"/>
                <w:b/>
                <w:bCs/>
              </w:rPr>
              <w:t>мГн</w:t>
            </w:r>
          </w:p>
        </w:tc>
        <w:tc>
          <w:tcPr>
            <w:tcW w:w="1376" w:type="dxa"/>
            <w:tcBorders>
              <w:start w:val="single" w:sz="4" w:space="0" w:color="000000"/>
              <w:bottom w:val="single" w:sz="4" w:space="0" w:color="000000"/>
            </w:tcBorders>
          </w:tcPr>
          <w:p>
            <w:pPr>
              <w:pStyle w:val="TableContents"/>
              <w:bidi w:val="0"/>
              <w:jc w:val="center"/>
              <w:rPr>
                <w:rFonts w:ascii="Times New Roman" w:hAnsi="Times New Roman"/>
                <w:b/>
                <w:bCs/>
              </w:rPr>
            </w:pPr>
            <w:r>
              <w:rPr>
                <w:rFonts w:ascii="Times New Roman" w:hAnsi="Times New Roman"/>
                <w:b/>
                <w:bCs/>
              </w:rPr>
              <w:t>н</w:t>
            </w:r>
            <w:r>
              <w:rPr>
                <w:rFonts w:ascii="Times New Roman" w:hAnsi="Times New Roman"/>
                <w:b/>
                <w:bCs/>
              </w:rPr>
              <w:t>Ф</w:t>
            </w:r>
          </w:p>
        </w:tc>
        <w:tc>
          <w:tcPr>
            <w:tcW w:w="1378" w:type="dxa"/>
            <w:tcBorders>
              <w:start w:val="single" w:sz="4" w:space="0" w:color="000000"/>
              <w:bottom w:val="single" w:sz="4" w:space="0" w:color="000000"/>
            </w:tcBorders>
          </w:tcPr>
          <w:p>
            <w:pPr>
              <w:pStyle w:val="TableContents"/>
              <w:bidi w:val="0"/>
              <w:jc w:val="center"/>
              <w:rPr>
                <w:rFonts w:ascii="Times New Roman" w:hAnsi="Times New Roman"/>
                <w:b/>
                <w:bCs/>
              </w:rPr>
            </w:pPr>
            <w:r>
              <w:rPr>
                <w:rFonts w:ascii="Times New Roman" w:hAnsi="Times New Roman"/>
                <w:b/>
                <w:bCs/>
              </w:rPr>
              <w:t>Ом</w:t>
            </w:r>
          </w:p>
        </w:tc>
        <w:tc>
          <w:tcPr>
            <w:tcW w:w="2753" w:type="dxa"/>
            <w:gridSpan w:val="2"/>
            <w:tcBorders>
              <w:start w:val="single" w:sz="4" w:space="0" w:color="000000"/>
              <w:bottom w:val="single" w:sz="4" w:space="0" w:color="000000"/>
            </w:tcBorders>
          </w:tcPr>
          <w:p>
            <w:pPr>
              <w:pStyle w:val="TableContents"/>
              <w:bidi w:val="0"/>
              <w:jc w:val="center"/>
              <w:rPr>
                <w:rFonts w:ascii="Times New Roman" w:hAnsi="Times New Roman"/>
                <w:b/>
                <w:bCs/>
              </w:rPr>
            </w:pPr>
            <w:r>
              <w:rPr>
                <w:rFonts w:ascii="Times New Roman" w:hAnsi="Times New Roman"/>
                <w:b/>
                <w:bCs/>
              </w:rPr>
              <w:t>Гц</w:t>
            </w:r>
          </w:p>
        </w:tc>
        <w:tc>
          <w:tcPr>
            <w:tcW w:w="1376" w:type="dxa"/>
            <w:gridSpan w:val="2"/>
            <w:tcBorders>
              <w:start w:val="single" w:sz="4" w:space="0" w:color="000000"/>
              <w:bottom w:val="single" w:sz="4" w:space="0" w:color="000000"/>
            </w:tcBorders>
          </w:tcPr>
          <w:p>
            <w:pPr>
              <w:pStyle w:val="TableContents"/>
              <w:bidi w:val="0"/>
              <w:jc w:val="center"/>
              <w:rPr>
                <w:rFonts w:ascii="Times New Roman" w:hAnsi="Times New Roman"/>
                <w:b/>
                <w:bCs/>
              </w:rPr>
            </w:pPr>
            <w:r>
              <w:rPr>
                <w:rFonts w:ascii="Times New Roman" w:hAnsi="Times New Roman"/>
                <w:b/>
                <w:bCs/>
              </w:rPr>
              <w:t>Ом</w:t>
            </w:r>
          </w:p>
        </w:tc>
        <w:tc>
          <w:tcPr>
            <w:tcW w:w="1379" w:type="dxa"/>
            <w:vMerge w:val="continue"/>
            <w:tcBorders>
              <w:top w:val="single" w:sz="4" w:space="0" w:color="000000"/>
              <w:start w:val="single" w:sz="4" w:space="0" w:color="000000"/>
              <w:bottom w:val="single" w:sz="4" w:space="0" w:color="000000"/>
              <w:end w:val="single" w:sz="4" w:space="0" w:color="000000"/>
            </w:tcBorders>
          </w:tcPr>
          <w:p>
            <w:pPr>
              <w:pStyle w:val="Normal"/>
              <w:bidi w:val="0"/>
              <w:jc w:val="start"/>
              <w:rPr/>
            </w:pPr>
            <w:r>
              <w:rPr/>
            </w:r>
          </w:p>
        </w:tc>
      </w:tr>
      <w:tr>
        <w:trPr/>
        <w:tc>
          <w:tcPr>
            <w:tcW w:w="1376" w:type="dxa"/>
            <w:tcBorders>
              <w:start w:val="single" w:sz="4" w:space="0" w:color="000000"/>
              <w:bottom w:val="single" w:sz="4" w:space="0" w:color="000000"/>
            </w:tcBorders>
          </w:tcPr>
          <w:p>
            <w:pPr>
              <w:pStyle w:val="TableContents"/>
              <w:bidi w:val="0"/>
              <w:jc w:val="center"/>
              <w:rPr>
                <w:rFonts w:ascii="Times New Roman" w:hAnsi="Times New Roman"/>
                <w:b w:val="false"/>
                <w:bCs w:val="false"/>
              </w:rPr>
            </w:pPr>
            <w:r>
              <w:rPr>
                <w:rFonts w:ascii="Times New Roman" w:hAnsi="Times New Roman"/>
                <w:b w:val="false"/>
                <w:bCs w:val="false"/>
              </w:rPr>
              <w:t>4.8</w:t>
            </w:r>
          </w:p>
        </w:tc>
        <w:tc>
          <w:tcPr>
            <w:tcW w:w="1376" w:type="dxa"/>
            <w:tcBorders>
              <w:start w:val="single" w:sz="4" w:space="0" w:color="000000"/>
              <w:bottom w:val="single" w:sz="4" w:space="0" w:color="000000"/>
            </w:tcBorders>
          </w:tcPr>
          <w:p>
            <w:pPr>
              <w:pStyle w:val="TableContents"/>
              <w:bidi w:val="0"/>
              <w:jc w:val="center"/>
              <w:rPr>
                <w:rFonts w:ascii="Times New Roman" w:hAnsi="Times New Roman"/>
                <w:b w:val="false"/>
                <w:bCs w:val="false"/>
              </w:rPr>
            </w:pPr>
            <w:r>
              <w:rPr>
                <w:rFonts w:ascii="Times New Roman" w:hAnsi="Times New Roman"/>
                <w:b w:val="false"/>
                <w:bCs w:val="false"/>
              </w:rPr>
              <w:t>46</w:t>
            </w:r>
          </w:p>
        </w:tc>
        <w:tc>
          <w:tcPr>
            <w:tcW w:w="1378" w:type="dxa"/>
            <w:tcBorders>
              <w:start w:val="single" w:sz="4" w:space="0" w:color="000000"/>
              <w:bottom w:val="single" w:sz="4" w:space="0" w:color="000000"/>
            </w:tcBorders>
          </w:tcPr>
          <w:p>
            <w:pPr>
              <w:pStyle w:val="TableContents"/>
              <w:bidi w:val="0"/>
              <w:jc w:val="center"/>
              <w:rPr>
                <w:rFonts w:ascii="Times New Roman" w:hAnsi="Times New Roman"/>
                <w:b w:val="false"/>
                <w:bCs w:val="false"/>
              </w:rPr>
            </w:pPr>
            <w:r>
              <w:rPr>
                <w:rFonts w:ascii="Times New Roman" w:hAnsi="Times New Roman"/>
                <w:b w:val="false"/>
                <w:bCs w:val="false"/>
              </w:rPr>
              <w:t>9</w:t>
            </w:r>
          </w:p>
        </w:tc>
        <w:tc>
          <w:tcPr>
            <w:tcW w:w="1377" w:type="dxa"/>
            <w:tcBorders>
              <w:start w:val="single" w:sz="4" w:space="0" w:color="000000"/>
              <w:bottom w:val="single" w:sz="4" w:space="0" w:color="000000"/>
            </w:tcBorders>
          </w:tcPr>
          <w:p>
            <w:pPr>
              <w:pStyle w:val="TableContents"/>
              <w:bidi w:val="0"/>
              <w:jc w:val="center"/>
              <w:rPr>
                <w:rFonts w:ascii="Times New Roman" w:hAnsi="Times New Roman"/>
                <w:b w:val="false"/>
                <w:bCs w:val="false"/>
              </w:rPr>
            </w:pPr>
            <w:r>
              <w:rPr>
                <w:rFonts w:ascii="Times New Roman" w:hAnsi="Times New Roman"/>
                <w:b w:val="false"/>
                <w:bCs w:val="false"/>
              </w:rPr>
              <w:t>10716</w:t>
            </w:r>
          </w:p>
        </w:tc>
        <w:tc>
          <w:tcPr>
            <w:tcW w:w="1377" w:type="dxa"/>
            <w:gridSpan w:val="2"/>
            <w:tcBorders>
              <w:start w:val="single" w:sz="4" w:space="0" w:color="000000"/>
              <w:bottom w:val="single" w:sz="4" w:space="0" w:color="000000"/>
            </w:tcBorders>
          </w:tcPr>
          <w:p>
            <w:pPr>
              <w:pStyle w:val="TableContents"/>
              <w:bidi w:val="0"/>
              <w:jc w:val="center"/>
              <w:rPr>
                <w:rFonts w:ascii="Times New Roman" w:hAnsi="Times New Roman"/>
                <w:b w:val="false"/>
                <w:bCs w:val="false"/>
              </w:rPr>
            </w:pPr>
            <w:r>
              <w:rPr>
                <w:rFonts w:ascii="Times New Roman" w:hAnsi="Times New Roman"/>
                <w:b w:val="false"/>
                <w:bCs w:val="false"/>
              </w:rPr>
              <w:t>10764</w:t>
            </w:r>
          </w:p>
        </w:tc>
        <w:tc>
          <w:tcPr>
            <w:tcW w:w="1375" w:type="dxa"/>
            <w:tcBorders>
              <w:start w:val="single" w:sz="4" w:space="0" w:color="000000"/>
              <w:bottom w:val="single" w:sz="4" w:space="0" w:color="000000"/>
            </w:tcBorders>
          </w:tcPr>
          <w:p>
            <w:pPr>
              <w:pStyle w:val="TableContents"/>
              <w:bidi w:val="0"/>
              <w:jc w:val="center"/>
              <w:rPr>
                <w:rFonts w:ascii="Times New Roman" w:hAnsi="Times New Roman"/>
                <w:b w:val="false"/>
                <w:bCs w:val="false"/>
              </w:rPr>
            </w:pPr>
            <w:r>
              <w:rPr>
                <w:rFonts w:ascii="Times New Roman" w:hAnsi="Times New Roman"/>
                <w:b w:val="false"/>
                <w:bCs w:val="false"/>
              </w:rPr>
              <w:t>323</w:t>
            </w:r>
          </w:p>
        </w:tc>
        <w:tc>
          <w:tcPr>
            <w:tcW w:w="1379"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b w:val="false"/>
                <w:bCs w:val="false"/>
              </w:rPr>
            </w:pPr>
            <w:r>
              <w:rPr>
                <w:rFonts w:ascii="Times New Roman" w:hAnsi="Times New Roman"/>
                <w:b w:val="false"/>
                <w:bCs w:val="false"/>
              </w:rPr>
              <w:t>35.8</w:t>
            </w:r>
          </w:p>
        </w:tc>
      </w:tr>
    </w:tbl>
    <w:p>
      <w:pPr>
        <w:pStyle w:val="BodyText"/>
        <w:bidi w:val="0"/>
        <w:jc w:val="center"/>
        <w:rPr>
          <w:rFonts w:ascii="Times New Roman" w:hAnsi="Times New Roman"/>
          <w:b/>
          <w:bCs/>
        </w:rPr>
      </w:pPr>
      <w:r>
        <w:rPr>
          <w:rFonts w:ascii="Times New Roman" w:hAnsi="Times New Roman"/>
          <w:b/>
          <w:bCs/>
        </w:rPr>
        <w:t>Таблица 3.1 собраные данные о характеристиках контура</w:t>
      </w:r>
    </w:p>
    <w:p>
      <w:pPr>
        <w:pStyle w:val="BodyText"/>
        <w:bidi w:val="0"/>
        <w:jc w:val="center"/>
        <w:rPr>
          <w:rFonts w:ascii="Times New Roman" w:hAnsi="Times New Roman"/>
          <w:b/>
          <w:bCs/>
        </w:rPr>
      </w:pPr>
      <w:r>
        <w:rPr>
          <w:rFonts w:ascii="Times New Roman" w:hAnsi="Times New Roman"/>
          <w:b/>
          <w:bCs/>
        </w:rPr>
      </w:r>
    </w:p>
    <w:tbl>
      <w:tblPr>
        <w:tblW w:w="5000" w:type="pct"/>
        <w:jc w:val="start"/>
        <w:tblInd w:w="-5" w:type="dxa"/>
        <w:tblLayout w:type="fixed"/>
        <w:tblCellMar>
          <w:top w:w="55" w:type="dxa"/>
          <w:start w:w="55" w:type="dxa"/>
          <w:bottom w:w="55" w:type="dxa"/>
          <w:end w:w="55" w:type="dxa"/>
        </w:tblCellMar>
      </w:tblPr>
      <w:tblGrid>
        <w:gridCol w:w="963"/>
        <w:gridCol w:w="964"/>
        <w:gridCol w:w="964"/>
        <w:gridCol w:w="963"/>
        <w:gridCol w:w="964"/>
        <w:gridCol w:w="964"/>
        <w:gridCol w:w="964"/>
        <w:gridCol w:w="963"/>
        <w:gridCol w:w="964"/>
        <w:gridCol w:w="965"/>
      </w:tblGrid>
      <w:tr>
        <w:trPr/>
        <w:tc>
          <w:tcPr>
            <w:tcW w:w="963"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 xml:space="preserve">F , </w:t>
            </w:r>
            <w:r>
              <w:rPr>
                <w:rFonts w:ascii="Times New Roman" w:hAnsi="Times New Roman"/>
                <w:b/>
                <w:bCs/>
              </w:rPr>
              <w:t>Гц</w:t>
            </w:r>
          </w:p>
        </w:tc>
        <w:tc>
          <w:tcPr>
            <w:tcW w:w="964"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103</w:t>
            </w:r>
            <w:r>
              <w:rPr>
                <w:rFonts w:ascii="Times New Roman" w:hAnsi="Times New Roman"/>
              </w:rPr>
              <w:t>54</w:t>
            </w:r>
          </w:p>
        </w:tc>
        <w:tc>
          <w:tcPr>
            <w:tcW w:w="964"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104</w:t>
            </w:r>
            <w:r>
              <w:rPr>
                <w:rFonts w:ascii="Times New Roman" w:hAnsi="Times New Roman"/>
              </w:rPr>
              <w:t>34</w:t>
            </w:r>
          </w:p>
        </w:tc>
        <w:tc>
          <w:tcPr>
            <w:tcW w:w="963"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10</w:t>
            </w:r>
            <w:r>
              <w:rPr>
                <w:rFonts w:ascii="Times New Roman" w:hAnsi="Times New Roman"/>
              </w:rPr>
              <w:t>524</w:t>
            </w:r>
          </w:p>
        </w:tc>
        <w:tc>
          <w:tcPr>
            <w:tcW w:w="964"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10</w:t>
            </w:r>
            <w:r>
              <w:rPr>
                <w:rFonts w:ascii="Times New Roman" w:hAnsi="Times New Roman"/>
              </w:rPr>
              <w:t>604</w:t>
            </w:r>
          </w:p>
        </w:tc>
        <w:tc>
          <w:tcPr>
            <w:tcW w:w="964"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10764</w:t>
            </w:r>
          </w:p>
        </w:tc>
        <w:tc>
          <w:tcPr>
            <w:tcW w:w="964"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10904</w:t>
            </w:r>
          </w:p>
        </w:tc>
        <w:tc>
          <w:tcPr>
            <w:tcW w:w="963"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10994</w:t>
            </w:r>
          </w:p>
        </w:tc>
        <w:tc>
          <w:tcPr>
            <w:tcW w:w="964"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11094</w:t>
            </w:r>
          </w:p>
        </w:tc>
        <w:tc>
          <w:tcPr>
            <w:tcW w:w="965" w:type="dxa"/>
            <w:tcBorders>
              <w:top w:val="single" w:sz="4" w:space="0" w:color="000000"/>
              <w:start w:val="single" w:sz="4" w:space="0" w:color="000000"/>
              <w:bottom w:val="single" w:sz="4" w:space="0" w:color="000000"/>
              <w:end w:val="single" w:sz="4" w:space="0" w:color="000000"/>
            </w:tcBorders>
          </w:tcPr>
          <w:p>
            <w:pPr>
              <w:pStyle w:val="TableContents"/>
              <w:bidi w:val="0"/>
              <w:jc w:val="center"/>
              <w:rPr>
                <w:rFonts w:ascii="Times New Roman" w:hAnsi="Times New Roman"/>
              </w:rPr>
            </w:pPr>
            <w:r>
              <w:rPr>
                <w:rFonts w:ascii="Times New Roman" w:hAnsi="Times New Roman"/>
              </w:rPr>
              <w:t>11194</w:t>
            </w:r>
          </w:p>
        </w:tc>
      </w:tr>
      <w:tr>
        <w:trPr>
          <w:trHeight w:val="451" w:hRule="atLeast"/>
        </w:trPr>
        <w:tc>
          <w:tcPr>
            <w:tcW w:w="963" w:type="dxa"/>
            <w:tcBorders>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 xml:space="preserve">U , </w:t>
            </w:r>
            <w:r>
              <w:rPr>
                <w:rFonts w:ascii="Times New Roman" w:hAnsi="Times New Roman"/>
                <w:b/>
                <w:bCs/>
              </w:rPr>
              <w:t>В</w:t>
            </w:r>
          </w:p>
        </w:tc>
        <w:tc>
          <w:tcPr>
            <w:tcW w:w="964" w:type="dxa"/>
            <w:tcBorders>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0,6</w:t>
            </w:r>
          </w:p>
        </w:tc>
        <w:tc>
          <w:tcPr>
            <w:tcW w:w="964" w:type="dxa"/>
            <w:tcBorders>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0,7</w:t>
            </w:r>
          </w:p>
        </w:tc>
        <w:tc>
          <w:tcPr>
            <w:tcW w:w="963" w:type="dxa"/>
            <w:tcBorders>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0,8</w:t>
            </w:r>
          </w:p>
        </w:tc>
        <w:tc>
          <w:tcPr>
            <w:tcW w:w="964" w:type="dxa"/>
            <w:tcBorders>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0,9</w:t>
            </w:r>
          </w:p>
        </w:tc>
        <w:tc>
          <w:tcPr>
            <w:tcW w:w="964" w:type="dxa"/>
            <w:tcBorders>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1</w:t>
            </w:r>
          </w:p>
        </w:tc>
        <w:tc>
          <w:tcPr>
            <w:tcW w:w="964" w:type="dxa"/>
            <w:tcBorders>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0,9</w:t>
            </w:r>
          </w:p>
        </w:tc>
        <w:tc>
          <w:tcPr>
            <w:tcW w:w="963" w:type="dxa"/>
            <w:tcBorders>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0,8</w:t>
            </w:r>
          </w:p>
        </w:tc>
        <w:tc>
          <w:tcPr>
            <w:tcW w:w="964" w:type="dxa"/>
            <w:tcBorders>
              <w:start w:val="single" w:sz="4" w:space="0" w:color="000000"/>
              <w:bottom w:val="single" w:sz="4" w:space="0" w:color="000000"/>
            </w:tcBorders>
          </w:tcPr>
          <w:p>
            <w:pPr>
              <w:pStyle w:val="TableContents"/>
              <w:bidi w:val="0"/>
              <w:jc w:val="center"/>
              <w:rPr>
                <w:rFonts w:ascii="Times New Roman" w:hAnsi="Times New Roman"/>
              </w:rPr>
            </w:pPr>
            <w:r>
              <w:rPr>
                <w:rFonts w:ascii="Times New Roman" w:hAnsi="Times New Roman"/>
              </w:rPr>
              <w:t>0,7</w:t>
            </w:r>
          </w:p>
        </w:tc>
        <w:tc>
          <w:tcPr>
            <w:tcW w:w="965"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rPr>
            </w:pPr>
            <w:r>
              <w:rPr>
                <w:rFonts w:ascii="Times New Roman" w:hAnsi="Times New Roman"/>
              </w:rPr>
              <w:t>0,6</w:t>
            </w:r>
          </w:p>
        </w:tc>
      </w:tr>
    </w:tbl>
    <w:p>
      <w:pPr>
        <w:pStyle w:val="BodyText"/>
        <w:bidi w:val="0"/>
        <w:jc w:val="center"/>
        <w:rPr/>
      </w:pPr>
      <w:r>
        <w:rPr>
          <w:rStyle w:val="Strong"/>
          <w:rFonts w:ascii="Times New Roman" w:hAnsi="Times New Roman"/>
          <w:b/>
          <w:bCs/>
        </w:rPr>
        <w:t xml:space="preserve">Таблица 3.2 </w:t>
      </w:r>
      <w:r>
        <w:rPr>
          <w:rStyle w:val="Strong"/>
        </w:rPr>
        <w:t>Вольт-фарадеическая характеристика колебательного контура (резонансная кривая)</w:t>
      </w:r>
    </w:p>
    <w:p>
      <w:pPr>
        <w:pStyle w:val="BodyText"/>
        <w:bidi w:val="0"/>
        <w:jc w:val="center"/>
        <w:rPr>
          <w:rStyle w:val="Strong"/>
        </w:rPr>
      </w:pPr>
      <w:r>
        <w:rPr/>
        <w:drawing>
          <wp:anchor behindDoc="0" distT="0" distB="0" distL="0" distR="0" simplePos="0" locked="0" layoutInCell="0" allowOverlap="1" relativeHeight="10">
            <wp:simplePos x="0" y="0"/>
            <wp:positionH relativeFrom="column">
              <wp:posOffset>308610</wp:posOffset>
            </wp:positionH>
            <wp:positionV relativeFrom="paragraph">
              <wp:posOffset>-45085</wp:posOffset>
            </wp:positionV>
            <wp:extent cx="2458085" cy="327723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1"/>
                    <a:stretch>
                      <a:fillRect/>
                    </a:stretch>
                  </pic:blipFill>
                  <pic:spPr bwMode="auto">
                    <a:xfrm>
                      <a:off x="0" y="0"/>
                      <a:ext cx="2458085" cy="3277235"/>
                    </a:xfrm>
                    <a:prstGeom prst="rect">
                      <a:avLst/>
                    </a:prstGeom>
                    <a:noFill/>
                  </pic:spPr>
                </pic:pic>
              </a:graphicData>
            </a:graphic>
          </wp:anchor>
        </w:drawing>
        <w:drawing>
          <wp:anchor behindDoc="0" distT="0" distB="0" distL="0" distR="0" simplePos="0" locked="0" layoutInCell="0" allowOverlap="1" relativeHeight="11">
            <wp:simplePos x="0" y="0"/>
            <wp:positionH relativeFrom="column">
              <wp:posOffset>3199130</wp:posOffset>
            </wp:positionH>
            <wp:positionV relativeFrom="paragraph">
              <wp:posOffset>-26670</wp:posOffset>
            </wp:positionV>
            <wp:extent cx="2430780" cy="326326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2"/>
                    <a:stretch>
                      <a:fillRect/>
                    </a:stretch>
                  </pic:blipFill>
                  <pic:spPr bwMode="auto">
                    <a:xfrm>
                      <a:off x="0" y="0"/>
                      <a:ext cx="2430780" cy="3263265"/>
                    </a:xfrm>
                    <a:prstGeom prst="rect">
                      <a:avLst/>
                    </a:prstGeom>
                    <a:noFill/>
                  </pic:spPr>
                </pic:pic>
              </a:graphicData>
            </a:graphic>
          </wp:anchor>
        </w:drawing>
      </w:r>
    </w:p>
    <w:p>
      <w:pPr>
        <w:pStyle w:val="BodyText"/>
        <w:bidi w:val="0"/>
        <w:jc w:val="center"/>
        <w:rPr>
          <w:rStyle w:val="Strong"/>
        </w:rPr>
      </w:pPr>
      <w:r>
        <w:rPr/>
      </w:r>
    </w:p>
    <w:p>
      <w:pPr>
        <w:pStyle w:val="BodyText"/>
        <w:bidi w:val="0"/>
        <w:jc w:val="center"/>
        <w:rPr>
          <w:rStyle w:val="Strong"/>
        </w:rPr>
      </w:pPr>
      <w:r>
        <w:rPr/>
      </w:r>
    </w:p>
    <w:p>
      <w:pPr>
        <w:pStyle w:val="BodyText"/>
        <w:bidi w:val="0"/>
        <w:jc w:val="center"/>
        <w:rPr>
          <w:rStyle w:val="Strong"/>
        </w:rPr>
      </w:pPr>
      <w:r>
        <w:rPr/>
      </w:r>
    </w:p>
    <w:p>
      <w:pPr>
        <w:pStyle w:val="BodyText"/>
        <w:bidi w:val="0"/>
        <w:jc w:val="center"/>
        <w:rPr>
          <w:rStyle w:val="Strong"/>
        </w:rPr>
      </w:pPr>
      <w:r>
        <w:rPr/>
      </w:r>
    </w:p>
    <w:p>
      <w:pPr>
        <w:pStyle w:val="BodyText"/>
        <w:bidi w:val="0"/>
        <w:jc w:val="center"/>
        <w:rPr>
          <w:rStyle w:val="Strong"/>
        </w:rPr>
      </w:pPr>
      <w:r>
        <w:rPr/>
      </w:r>
    </w:p>
    <w:p>
      <w:pPr>
        <w:pStyle w:val="BodyText"/>
        <w:bidi w:val="0"/>
        <w:jc w:val="center"/>
        <w:rPr>
          <w:rStyle w:val="Strong"/>
        </w:rPr>
      </w:pPr>
      <w:r>
        <w:rPr/>
      </w:r>
    </w:p>
    <w:p>
      <w:pPr>
        <w:pStyle w:val="BodyText"/>
        <w:bidi w:val="0"/>
        <w:jc w:val="center"/>
        <w:rPr>
          <w:rStyle w:val="Strong"/>
        </w:rPr>
      </w:pPr>
      <w:r>
        <w:rPr/>
      </w:r>
    </w:p>
    <w:p>
      <w:pPr>
        <w:pStyle w:val="BodyText"/>
        <w:bidi w:val="0"/>
        <w:jc w:val="center"/>
        <w:rPr/>
      </w:pPr>
      <w:r>
        <w:rPr>
          <w:rStyle w:val="Strong"/>
        </w:rPr>
        <w:t>Вывод:</w:t>
      </w:r>
    </w:p>
    <w:p>
      <w:pPr>
        <w:pStyle w:val="BodyText"/>
        <w:bidi w:val="0"/>
        <w:jc w:val="start"/>
        <w:rPr/>
      </w:pPr>
      <w:r>
        <w:rPr>
          <w:rStyle w:val="Strong"/>
          <w:rFonts w:ascii="Times New Roman" w:hAnsi="Times New Roman"/>
          <w:b w:val="false"/>
          <w:i w:val="false"/>
          <w:caps w:val="false"/>
          <w:smallCaps w:val="false"/>
          <w:spacing w:val="0"/>
          <w:sz w:val="24"/>
        </w:rPr>
        <w:t>В результате исследования частотной характеристики колебательного контура было установлено, что амплитуда напряжения на контуре достигает максимального значения при резонансной частоте. При отклонении частоты от резонансной амплитуда постепенно уменьшается, что соответствует типичному поведению резонансной кривой. Полученные значения подтверждают теоретические представления о наличии резонанса в электрическом колебательном контуре.</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jc w:val="center"/>
        <w:rPr>
          <w:rFonts w:ascii="Helvetica" w:hAnsi="Helvetica"/>
          <w:color w:val="auto"/>
          <w:sz w:val="24"/>
        </w:rPr>
      </w:pPr>
      <w:r>
        <w:rPr>
          <w:rFonts w:ascii="Times New Roman" w:hAnsi="Times New Roman"/>
          <w:b/>
          <w:bCs/>
          <w:i w:val="false"/>
          <w:caps w:val="false"/>
          <w:smallCaps w:val="false"/>
          <w:color w:val="auto"/>
          <w:spacing w:val="0"/>
          <w:sz w:val="24"/>
          <w:szCs w:val="40"/>
        </w:rPr>
        <w:t xml:space="preserve"> </w:t>
      </w:r>
      <w:r>
        <w:rPr>
          <w:rFonts w:ascii="Times New Roman" w:hAnsi="Times New Roman"/>
          <w:b/>
          <w:bCs/>
          <w:i w:val="false"/>
          <w:caps w:val="false"/>
          <w:smallCaps w:val="false"/>
          <w:color w:val="auto"/>
          <w:spacing w:val="0"/>
          <w:sz w:val="24"/>
          <w:szCs w:val="40"/>
        </w:rPr>
        <w:t>Библиография :</w:t>
      </w:r>
    </w:p>
    <w:p>
      <w:pPr>
        <w:pStyle w:val="BodyText"/>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jc w:val="center"/>
        <w:rPr>
          <w:rFonts w:ascii="Helvetica" w:hAnsi="Helvetica"/>
          <w:color w:val="auto"/>
          <w:sz w:val="24"/>
        </w:rPr>
      </w:pPr>
      <w:r>
        <w:rPr>
          <w:rFonts w:ascii="Times New Roman" w:hAnsi="Times New Roman"/>
          <w:b/>
          <w:bCs/>
          <w:i w:val="false"/>
          <w:caps w:val="false"/>
          <w:smallCaps w:val="false"/>
          <w:color w:val="auto"/>
          <w:spacing w:val="0"/>
          <w:sz w:val="24"/>
          <w:szCs w:val="40"/>
        </w:rPr>
        <w:tab/>
      </w:r>
    </w:p>
    <w:p>
      <w:pPr>
        <w:pStyle w:val="BodyText"/>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ind w:hanging="0" w:start="0" w:end="0"/>
        <w:jc w:val="start"/>
        <w:rPr>
          <w:rFonts w:ascii="Times New Roman" w:hAnsi="Times New Roman"/>
          <w:b/>
          <w:bCs/>
          <w:sz w:val="24"/>
          <w:szCs w:val="40"/>
        </w:rPr>
      </w:pPr>
      <w:r>
        <w:rPr>
          <w:rFonts w:ascii="Times New Roman" w:hAnsi="Times New Roman"/>
          <w:b/>
          <w:bCs/>
          <w:szCs w:val="40"/>
        </w:rPr>
        <w:t>1. Методические указания к лабораторной работе №3 по дисциплине «CDE». Технический университет Молдовы, Кишинев, 2025.</w:t>
      </w:r>
    </w:p>
    <w:p>
      <w:pPr>
        <w:pStyle w:val="BodyText"/>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before="0" w:after="140"/>
        <w:ind w:hanging="0" w:start="0" w:end="0"/>
        <w:jc w:val="start"/>
        <w:rPr/>
      </w:pPr>
      <w:r>
        <w:rPr>
          <w:rStyle w:val="Strong"/>
          <w:rFonts w:ascii="Times New Roman" w:hAnsi="Times New Roman"/>
          <w:b/>
          <w:bCs/>
          <w:szCs w:val="40"/>
        </w:rPr>
        <w:t xml:space="preserve">2. </w:t>
      </w:r>
      <w:r>
        <w:rPr>
          <w:rStyle w:val="Strong"/>
          <w:b/>
          <w:bCs/>
        </w:rPr>
        <w:t>Гершунский Б.С. Основы электроники и микроэлектроники: Учебник. 4-е издание, перераб. и доп. – Киев: Выща шк., 1989.</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Helvetica">
    <w:altName w:val="Arial"/>
    <w:charset w:val="01" w:characterSet="utf-8"/>
    <w:family w:val="roman"/>
    <w:pitch w:val="variable"/>
  </w:font>
</w:fonts>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ru-MD"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Songti SC" w:cs="Arial Unicode MS"/>
      <w:color w:val="auto"/>
      <w:kern w:val="2"/>
      <w:sz w:val="24"/>
      <w:szCs w:val="24"/>
      <w:lang w:val="ru-MD" w:eastAsia="zh-CN" w:bidi="hi-IN"/>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yperlink" Target="https://fcim.utm.md/departamentele-fcim/departamentul-ingineria-software-si-automatica/"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137</TotalTime>
  <Application>LibreOffice/25.8.1.1$MacOSX_X86_64 LibreOffice_project/54047653041915e595ad4e45cccea684809c77b5</Application>
  <AppVersion>15.0000</AppVersion>
  <Pages>7</Pages>
  <Words>1163</Words>
  <Characters>8526</Characters>
  <CharactersWithSpaces>9646</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2025-11-04T18:35:38Z</dcterms:created>
  <dc:creator/>
  <dc:description/>
  <dc:language>ru-MD</dc:language>
  <cp:lastModifiedBy/>
  <cp:lastPrinted>2025-11-09T19:09:20Z</cp:lastPrinted>
  <dcterms:modified xsi:type="dcterms:W3CDTF">2025-11-09T21:06:34Z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