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D7377"/>
          <w:sz w:val="44"/>
          <w:szCs w:val="44"/>
        </w:rPr>
        <w:t xml:space="preserve">ANANSI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Clinical Intelligence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Complete Capability Inventory  |  February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0D7377" w:sz="2"/>
              <w:left w:val="none" w:color="FFFFFF" w:sz="0"/>
              <w:bottom w:val="single" w:color="0D7377" w:sz="2"/>
              <w:right w:val="none" w:color="FFFFFF" w:sz="0"/>
            </w:tcBorders>
            <w:shd w:fill="F0F7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Not an AI scribe. A clinical intelligence layer that makes providers faster, safer, and audit-proof — on any EHR.</w:t>
            </w:r>
          </w:p>
        </w:tc>
      </w:tr>
    </w:tbl>
    <w:p>
      <w:pPr>
        <w:spacing w:after="2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1. Clinical Documentation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encounter documentation from transcript, dictation, or image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 Notes — </w:t>
      </w:r>
      <w:r>
        <w:rPr>
          <w:rFonts w:ascii="Arial" w:cs="Arial" w:eastAsia="Arial" w:hAnsi="Arial"/>
          <w:sz w:val="22"/>
          <w:szCs w:val="22"/>
        </w:rPr>
        <w:t xml:space="preserve">CC, HPI, exam, assessment, plan, MDM, billing level, WRS, disposition. Locked section order per compiler directive; no blending.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Discharge Instructions — </w:t>
      </w:r>
      <w:r>
        <w:rPr>
          <w:rFonts w:ascii="Arial" w:cs="Arial" w:eastAsia="Arial" w:hAnsi="Arial"/>
          <w:sz w:val="22"/>
          <w:szCs w:val="22"/>
        </w:rPr>
        <w:t xml:space="preserve">Patient-facing only. Plain language. Diagnosis-specific home care, follow-up, return precautions, ER escalation criteria. Never includes vitals, exam, MDM, or risk 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 Transfer Notes — </w:t>
      </w:r>
      <w:r>
        <w:rPr>
          <w:rFonts w:ascii="Arial" w:cs="Arial" w:eastAsia="Arial" w:hAnsi="Arial"/>
          <w:sz w:val="22"/>
          <w:szCs w:val="22"/>
        </w:rPr>
        <w:t xml:space="preserve">Structured handoff packets with reason for transfer, HPI, vitals, diagnostics completed, assessment, and disposition. Required for all transfers.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Specialist Referral Letters — </w:t>
      </w:r>
      <w:r>
        <w:rPr>
          <w:rFonts w:ascii="Arial" w:cs="Arial" w:eastAsia="Arial" w:hAnsi="Arial"/>
          <w:sz w:val="22"/>
          <w:szCs w:val="22"/>
        </w:rPr>
        <w:t xml:space="preserve">Individualized by specialty with relevant clinical context. Validated for: cardiology, nephrology, endocrinology, urology, PCP, podiatry, ophthalmology, GI, pain management, sports medicine, orthopedics.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Work/School Excuse Notes — </w:t>
      </w:r>
      <w:r>
        <w:rPr>
          <w:rFonts w:ascii="Arial" w:cs="Arial" w:eastAsia="Arial" w:hAnsi="Arial"/>
          <w:sz w:val="22"/>
          <w:szCs w:val="22"/>
        </w:rPr>
        <w:t xml:space="preserve">Date-specific with return criteria.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 Callback Addendums — </w:t>
      </w:r>
      <w:r>
        <w:rPr>
          <w:rFonts w:ascii="Arial" w:cs="Arial" w:eastAsia="Arial" w:hAnsi="Arial"/>
          <w:sz w:val="22"/>
          <w:szCs w:val="22"/>
        </w:rPr>
        <w:t xml:space="preserve">Coverage analysis tables, contact attempt documentation, follow-up plans, legal protection checklists.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 Notification Letters — </w:t>
      </w:r>
      <w:r>
        <w:rPr>
          <w:rFonts w:ascii="Arial" w:cs="Arial" w:eastAsia="Arial" w:hAnsi="Arial"/>
          <w:sz w:val="22"/>
          <w:szCs w:val="22"/>
        </w:rPr>
        <w:t xml:space="preserve">Mailable plain-language correspondence with action items, return precautions, and contact update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PCP Fax Cover Sheets — </w:t>
      </w:r>
      <w:r>
        <w:rPr>
          <w:rFonts w:ascii="Arial" w:cs="Arial" w:eastAsia="Arial" w:hAnsi="Arial"/>
          <w:sz w:val="22"/>
          <w:szCs w:val="22"/>
        </w:rPr>
        <w:t xml:space="preserve">Urgency-stratified with interval history summaries.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 Risk Stratification &amp; Patient Safety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global instability scoring independent of chief complaint.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Weighted Risk Score (WRS) — </w:t>
      </w:r>
      <w:r>
        <w:rPr>
          <w:rFonts w:ascii="Arial" w:cs="Arial" w:eastAsia="Arial" w:hAnsi="Arial"/>
          <w:sz w:val="22"/>
          <w:szCs w:val="22"/>
        </w:rPr>
        <w:t xml:space="preserve">5-domain composite score (vitals, age, history flags, presentation flags, lab modifiers). Range 0–10+. Maps to Green / Yellow / Orange / Red tiers. Visible, explainable, uncertainty-labeled.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Interrupt Logic — </w:t>
      </w:r>
      <w:r>
        <w:rPr>
          <w:rFonts w:ascii="Arial" w:cs="Arial" w:eastAsia="Arial" w:hAnsi="Arial"/>
          <w:sz w:val="22"/>
          <w:szCs w:val="22"/>
        </w:rPr>
        <w:t xml:space="preserve">Dual-gate system fires regardless of total WRS for: SpO₂ &lt;90% + age ≥65, altered mental status, new focal neurological deficit, sepsis criteria (2+ SIRS + suspected infection), active SI/HI, hemodynamic instability.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Pre-Room Risk Flagging — </w:t>
      </w:r>
      <w:r>
        <w:rPr>
          <w:rFonts w:ascii="Arial" w:cs="Arial" w:eastAsia="Arial" w:hAnsi="Arial"/>
          <w:sz w:val="22"/>
          <w:szCs w:val="22"/>
        </w:rPr>
        <w:t xml:space="preserve">Scores patient risk before provider enters the room. Surfaces who looks stable but isn’t.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Pediatric Pathway — </w:t>
      </w:r>
      <w:r>
        <w:rPr>
          <w:rFonts w:ascii="Arial" w:cs="Arial" w:eastAsia="Arial" w:hAnsi="Arial"/>
          <w:sz w:val="22"/>
          <w:szCs w:val="22"/>
        </w:rPr>
        <w:t xml:space="preserve">Age-adjusted vital sign interpretation, weight-based medication dosing calculations, and separate scoring logic for patients &lt;18.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Escalation Enforcement — </w:t>
      </w:r>
      <w:r>
        <w:rPr>
          <w:rFonts w:ascii="Arial" w:cs="Arial" w:eastAsia="Arial" w:hAnsi="Arial"/>
          <w:sz w:val="22"/>
          <w:szCs w:val="22"/>
        </w:rPr>
        <w:t xml:space="preserve">System forces documentation of clinical reasoning when overriding a high-risk flag.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3. Billing &amp; Revenue Defense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Documentation structured for defensibility, not just completion.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MDM Auto-Calculation — </w:t>
      </w:r>
      <w:r>
        <w:rPr>
          <w:rFonts w:ascii="Arial" w:cs="Arial" w:eastAsia="Arial" w:hAnsi="Arial"/>
          <w:sz w:val="22"/>
          <w:szCs w:val="22"/>
        </w:rPr>
        <w:t xml:space="preserve">CMS 2025-compliant medical decision-making with explicit justification across all three elements: number/complexity of problems, amount/complexity of data, risk of complications.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Billing Level Assignment — </w:t>
      </w:r>
      <w:r>
        <w:rPr>
          <w:rFonts w:ascii="Arial" w:cs="Arial" w:eastAsia="Arial" w:hAnsi="Arial"/>
          <w:sz w:val="22"/>
          <w:szCs w:val="22"/>
        </w:rPr>
        <w:t xml:space="preserve">Auto-selects 99212–99215 (established) / 99202–99205 (new) with written rationale.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ICD-10 Code Selection — </w:t>
      </w:r>
      <w:r>
        <w:rPr>
          <w:rFonts w:ascii="Arial" w:cs="Arial" w:eastAsia="Arial" w:hAnsi="Arial"/>
          <w:sz w:val="22"/>
          <w:szCs w:val="22"/>
        </w:rPr>
        <w:t xml:space="preserve">Diagnosis-specific coding with documented reasoning.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Audit-Proof View Logic — </w:t>
      </w:r>
      <w:r>
        <w:rPr>
          <w:rFonts w:ascii="Arial" w:cs="Arial" w:eastAsia="Arial" w:hAnsi="Arial"/>
          <w:sz w:val="22"/>
          <w:szCs w:val="22"/>
        </w:rPr>
        <w:t xml:space="preserve">Every billing decision cites the specific CMS criteria used. If a payer downcodes, the Anansi log provides the evidentiary defense.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Pre-Denial Flagging — </w:t>
      </w:r>
      <w:r>
        <w:rPr>
          <w:rFonts w:ascii="Arial" w:cs="Arial" w:eastAsia="Arial" w:hAnsi="Arial"/>
          <w:sz w:val="22"/>
          <w:szCs w:val="22"/>
        </w:rPr>
        <w:t xml:space="preserve">Catches billing issues before claim submission (missing conservative therapy dates, step therapy documentation gaps, incomplete medical necessity narratives).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 Card Qualification Support — </w:t>
      </w:r>
      <w:r>
        <w:rPr>
          <w:rFonts w:ascii="Arial" w:cs="Arial" w:eastAsia="Arial" w:hAnsi="Arial"/>
          <w:sz w:val="22"/>
          <w:szCs w:val="22"/>
        </w:rPr>
        <w:t xml:space="preserve">Drives PA approval rates &gt;90% to qualify for payer exemption programs.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Leakage Quantification — </w:t>
      </w:r>
      <w:r>
        <w:rPr>
          <w:rFonts w:ascii="Arial" w:cs="Arial" w:eastAsia="Arial" w:hAnsi="Arial"/>
          <w:sz w:val="22"/>
          <w:szCs w:val="22"/>
        </w:rPr>
        <w:t xml:space="preserve">5–10% billing leakage per practice identified and recoverable.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 Lab Intelligence &amp; Antibiotic Stewardship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Organism-level analysis with mechanistic reasoning for coverage decisions.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 Organism-Antibiotic Coverage Matrix — </w:t>
      </w:r>
      <w:r>
        <w:rPr>
          <w:rFonts w:ascii="Arial" w:cs="Arial" w:eastAsia="Arial" w:hAnsi="Arial"/>
          <w:sz w:val="22"/>
          <w:szCs w:val="22"/>
        </w:rPr>
        <w:t xml:space="preserve">Gram-negatives, gram-positives, atypicals (Mycoplasma/Ureaplasma), and yeast. Coverage mapped as ✓ / ✗ / ~ for 9 common antibiotics.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Empiric Coverage Gap Detection — </w:t>
      </w:r>
      <w:r>
        <w:rPr>
          <w:rFonts w:ascii="Arial" w:cs="Arial" w:eastAsia="Arial" w:hAnsi="Arial"/>
          <w:sz w:val="22"/>
          <w:szCs w:val="22"/>
        </w:rPr>
        <w:t xml:space="preserve">Flags organism-antibiotic mismatches with mechanistic reasoning (e.g., “Lacks cell wall — intrinsically resistant to all beta-lactams”).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Resistance Pattern Alerting — </w:t>
      </w:r>
      <w:r>
        <w:rPr>
          <w:rFonts w:ascii="Arial" w:cs="Arial" w:eastAsia="Arial" w:hAnsi="Arial"/>
          <w:sz w:val="22"/>
          <w:szCs w:val="22"/>
        </w:rPr>
        <w:t xml:space="preserve">Tiered alerts for ESBL, CRE, VRE, MRSA, AmpC producers, fluoroquinolone-resistant organisms, and macrolide-resistant Mycoplasma.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Empiric Regimen Gap Tables — </w:t>
      </w:r>
      <w:r>
        <w:rPr>
          <w:rFonts w:ascii="Arial" w:cs="Arial" w:eastAsia="Arial" w:hAnsi="Arial"/>
          <w:sz w:val="22"/>
          <w:szCs w:val="22"/>
        </w:rPr>
        <w:t xml:space="preserve">For every common empiric choice: what it covers well and what it misses.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Treatment Recommendations by Organism — </w:t>
      </w:r>
      <w:r>
        <w:rPr>
          <w:rFonts w:ascii="Arial" w:cs="Arial" w:eastAsia="Arial" w:hAnsi="Arial"/>
          <w:sz w:val="22"/>
          <w:szCs w:val="22"/>
        </w:rPr>
        <w:t xml:space="preserve">First-line, alternatives, and explicit “NOT” lists per organism.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Auto-Generated Addendums — </w:t>
      </w:r>
      <w:r>
        <w:rPr>
          <w:rFonts w:ascii="Arial" w:cs="Arial" w:eastAsia="Arial" w:hAnsi="Arial"/>
          <w:sz w:val="22"/>
          <w:szCs w:val="22"/>
        </w:rPr>
        <w:t xml:space="preserve">Coverage analysis tables, alternative treatment options, and follow-up plans from culture/PCR results.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 Automated Chart Hydration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intake-to-chart pipeline using computer vision and OCR.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OCR/CV Document Intake — </w:t>
      </w:r>
      <w:r>
        <w:rPr>
          <w:rFonts w:ascii="Arial" w:cs="Arial" w:eastAsia="Arial" w:hAnsi="Arial"/>
          <w:sz w:val="22"/>
          <w:szCs w:val="22"/>
        </w:rPr>
        <w:t xml:space="preserve">PDFs (lab reports, outside records, intake forms, imaging reports) processed through optical character recognition and computer vision to extract structured clinical data.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Auto-Population of Chart Fields — </w:t>
      </w:r>
      <w:r>
        <w:rPr>
          <w:rFonts w:ascii="Arial" w:cs="Arial" w:eastAsia="Arial" w:hAnsi="Arial"/>
          <w:sz w:val="22"/>
          <w:szCs w:val="22"/>
        </w:rPr>
        <w:t xml:space="preserve">Extracted data mapped to appropriate chart fields in OpenMDS demo EHR. Eliminates manual transcription from source documents.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Pre-Visit Prep Elimination — </w:t>
      </w:r>
      <w:r>
        <w:rPr>
          <w:rFonts w:ascii="Arial" w:cs="Arial" w:eastAsia="Arial" w:hAnsi="Arial"/>
          <w:sz w:val="22"/>
          <w:szCs w:val="22"/>
        </w:rPr>
        <w:t xml:space="preserve">Reduces 15–25 minute per-chart manual review to near-zero.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Demo-Ready Architecture — </w:t>
      </w:r>
      <w:r>
        <w:rPr>
          <w:rFonts w:ascii="Arial" w:cs="Arial" w:eastAsia="Arial" w:hAnsi="Arial"/>
          <w:sz w:val="22"/>
          <w:szCs w:val="22"/>
        </w:rPr>
        <w:t xml:space="preserve">Full end-to-end pipeline demonstrable on OpenMDS without production EHR access or BAA requirements.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 APP Supervision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Automated chart audit for Advanced Practice Provider oversight. Designed for PE roll-ups scaling APP capacity.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Incident-to Billing Trap Detection — </w:t>
      </w:r>
      <w:r>
        <w:rPr>
          <w:rFonts w:ascii="Arial" w:cs="Arial" w:eastAsia="Arial" w:hAnsi="Arial"/>
          <w:sz w:val="22"/>
          <w:szCs w:val="22"/>
        </w:rPr>
        <w:t xml:space="preserve">Catches new problems billed at physician rate without supervising MD physically present.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Vital Sign / Discharge Mismatch — </w:t>
      </w:r>
      <w:r>
        <w:rPr>
          <w:rFonts w:ascii="Arial" w:cs="Arial" w:eastAsia="Arial" w:hAnsi="Arial"/>
          <w:sz w:val="22"/>
          <w:szCs w:val="22"/>
        </w:rPr>
        <w:t xml:space="preserve">Flags unstable vitals at discharge (tachycardia, hypotension, hypoxia, fever, tachypnea) not addressed in MDM.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 Creep Detection — </w:t>
      </w:r>
      <w:r>
        <w:rPr>
          <w:rFonts w:ascii="Arial" w:cs="Arial" w:eastAsia="Arial" w:hAnsi="Arial"/>
          <w:sz w:val="22"/>
          <w:szCs w:val="22"/>
        </w:rPr>
        <w:t xml:space="preserve">Orange/Red tier patients without documented MD consult trigger warnings or hard interrupts.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Diagnostic Anchoring Audit — </w:t>
      </w:r>
      <w:r>
        <w:rPr>
          <w:rFonts w:ascii="Arial" w:cs="Arial" w:eastAsia="Arial" w:hAnsi="Arial"/>
          <w:sz w:val="22"/>
          <w:szCs w:val="22"/>
        </w:rPr>
        <w:t xml:space="preserve">Chief complaint-specific red flag rules (chest pain, back pain, headache, abdominal pain) with age-stratified required negative documentation.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Consistency Check — </w:t>
      </w:r>
      <w:r>
        <w:rPr>
          <w:rFonts w:ascii="Arial" w:cs="Arial" w:eastAsia="Arial" w:hAnsi="Arial"/>
          <w:sz w:val="22"/>
          <w:szCs w:val="22"/>
        </w:rPr>
        <w:t xml:space="preserve">Detects HPI vs. exam contradictions (e.g., “cannot walk” in HPI + “gait normal” in exam).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 Impact Tagging — </w:t>
      </w:r>
      <w:r>
        <w:rPr>
          <w:rFonts w:ascii="Arial" w:cs="Arial" w:eastAsia="Arial" w:hAnsi="Arial"/>
          <w:sz w:val="22"/>
          <w:szCs w:val="22"/>
        </w:rPr>
        <w:t xml:space="preserve">Every flag includes PE-relevant financial exposure language and remediation steps.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 Input Flexibility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intake pathways. No single point of failure in data capture.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Transcript Processing — </w:t>
      </w:r>
      <w:r>
        <w:rPr>
          <w:rFonts w:ascii="Arial" w:cs="Arial" w:eastAsia="Arial" w:hAnsi="Arial"/>
          <w:sz w:val="22"/>
          <w:szCs w:val="22"/>
        </w:rPr>
        <w:t xml:space="preserve">Ambient audio transcripts parsed into structured clinical documentation.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Voice-to-Chart — </w:t>
      </w:r>
      <w:r>
        <w:rPr>
          <w:rFonts w:ascii="Arial" w:cs="Arial" w:eastAsia="Arial" w:hAnsi="Arial"/>
          <w:sz w:val="22"/>
          <w:szCs w:val="22"/>
        </w:rPr>
        <w:t xml:space="preserve">Dictated exam findings and clinical shorthand expanded into complete notes.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Image Intake — </w:t>
      </w:r>
      <w:r>
        <w:rPr>
          <w:rFonts w:ascii="Arial" w:cs="Arial" w:eastAsia="Arial" w:hAnsi="Arial"/>
          <w:sz w:val="22"/>
          <w:szCs w:val="22"/>
        </w:rPr>
        <w:t xml:space="preserve">Vitals monitors, intake sheets, handwritten notes, lab printouts, EKG strips, MyChart screenshots, and medication lists processed via CV.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Intake (OCR/CV) — </w:t>
      </w:r>
      <w:r>
        <w:rPr>
          <w:rFonts w:ascii="Arial" w:cs="Arial" w:eastAsia="Arial" w:hAnsi="Arial"/>
          <w:sz w:val="22"/>
          <w:szCs w:val="22"/>
        </w:rPr>
        <w:t xml:space="preserve">Outside records, lab reports, and intake forms auto-extracted and mapped to chart fields.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Incremental Data Handling — </w:t>
      </w:r>
      <w:r>
        <w:rPr>
          <w:rFonts w:ascii="Arial" w:cs="Arial" w:eastAsia="Arial" w:hAnsi="Arial"/>
          <w:sz w:val="22"/>
          <w:szCs w:val="22"/>
        </w:rPr>
        <w:t xml:space="preserve">Never stalls on missing information. Labels UNKNOWN, continues generating, revises deterministically as data arrives.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Discrepancy Detection — </w:t>
      </w:r>
      <w:r>
        <w:rPr>
          <w:rFonts w:ascii="Arial" w:cs="Arial" w:eastAsia="Arial" w:hAnsi="Arial"/>
          <w:sz w:val="22"/>
          <w:szCs w:val="22"/>
        </w:rPr>
        <w:t xml:space="preserve">Flags conflicts between transcript and clinician input (e.g., age, allergies) with confirmation prompts. Clinician authority always governs.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8. Workflow Metrics &amp;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Proactive operational intelligence. EMR metrics are reactive; Anansi prevents problems upstream.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Patient Flow Tracking — </w:t>
      </w:r>
      <w:r>
        <w:rPr>
          <w:rFonts w:ascii="Arial" w:cs="Arial" w:eastAsia="Arial" w:hAnsi="Arial"/>
          <w:sz w:val="22"/>
          <w:szCs w:val="22"/>
        </w:rPr>
        <w:t xml:space="preserve">Visual Board Mode (drag-and-drop) or Ping Mode (minimal alerts). Arrival → triage → ready → provider → discharge.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 Metrics — </w:t>
      </w:r>
      <w:r>
        <w:rPr>
          <w:rFonts w:ascii="Arial" w:cs="Arial" w:eastAsia="Arial" w:hAnsi="Arial"/>
          <w:sz w:val="22"/>
          <w:szCs w:val="22"/>
        </w:rPr>
        <w:t xml:space="preserve">Wait time, triage duration, MA prep time, provider door-to-door, total visit duration.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 Completion Rate Tracking — </w:t>
      </w:r>
      <w:r>
        <w:rPr>
          <w:rFonts w:ascii="Arial" w:cs="Arial" w:eastAsia="Arial" w:hAnsi="Arial"/>
          <w:sz w:val="22"/>
          <w:szCs w:val="22"/>
        </w:rPr>
        <w:t xml:space="preserve">Identifies what MAs miss most often in triage/rooming.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Dismissal Pattern Monitoring — </w:t>
      </w:r>
      <w:r>
        <w:rPr>
          <w:rFonts w:ascii="Arial" w:cs="Arial" w:eastAsia="Arial" w:hAnsi="Arial"/>
          <w:sz w:val="22"/>
          <w:szCs w:val="22"/>
        </w:rPr>
        <w:t xml:space="preserve">Tracks who ignores which alerts and how often. Accountability layer for safety compliance.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Pre-Denial Flagging — </w:t>
      </w:r>
      <w:r>
        <w:rPr>
          <w:rFonts w:ascii="Arial" w:cs="Arial" w:eastAsia="Arial" w:hAnsi="Arial"/>
          <w:sz w:val="22"/>
          <w:szCs w:val="22"/>
        </w:rPr>
        <w:t xml:space="preserve">Catches documentation deficiencies that would trigger claim denials before submission.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Auditable Why-Strings — </w:t>
      </w:r>
      <w:r>
        <w:rPr>
          <w:rFonts w:ascii="Arial" w:cs="Arial" w:eastAsia="Arial" w:hAnsi="Arial"/>
          <w:sz w:val="22"/>
          <w:szCs w:val="22"/>
        </w:rPr>
        <w:t xml:space="preserve">Explainable logic for every flag, every score, every recommendation. Nothing is a black box.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 Medicolegal Protections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output designed for defensibility in audit, litigation, or payer dispute.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Legal Protection Checklists — </w:t>
      </w:r>
      <w:r>
        <w:rPr>
          <w:rFonts w:ascii="Arial" w:cs="Arial" w:eastAsia="Arial" w:hAnsi="Arial"/>
          <w:sz w:val="22"/>
          <w:szCs w:val="22"/>
        </w:rPr>
        <w:t xml:space="preserve">Auto-generated for results callbacks, transfer documentation, and AMA situations.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AMA Documentation — </w:t>
      </w:r>
      <w:r>
        <w:rPr>
          <w:rFonts w:ascii="Arial" w:cs="Arial" w:eastAsia="Arial" w:hAnsi="Arial"/>
          <w:sz w:val="22"/>
          <w:szCs w:val="22"/>
        </w:rPr>
        <w:t xml:space="preserve">When patients refuse EMS transport, decline discharge instructions, or leave against medical advice.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Reportable Disease Flagging — </w:t>
      </w:r>
      <w:r>
        <w:rPr>
          <w:rFonts w:ascii="Arial" w:cs="Arial" w:eastAsia="Arial" w:hAnsi="Arial"/>
          <w:sz w:val="22"/>
          <w:szCs w:val="22"/>
        </w:rPr>
        <w:t xml:space="preserve">State-mandated reporting reminders (e.g., Ohio chlamydia reporting requirements).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Compliance Enforcement — </w:t>
      </w:r>
      <w:r>
        <w:rPr>
          <w:rFonts w:ascii="Arial" w:cs="Arial" w:eastAsia="Arial" w:hAnsi="Arial"/>
          <w:sz w:val="22"/>
          <w:szCs w:val="22"/>
        </w:rPr>
        <w:t xml:space="preserve">Discharge instructions generated for chart even when patient declines printed copy.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Negation Rule — </w:t>
      </w:r>
      <w:r>
        <w:rPr>
          <w:rFonts w:ascii="Arial" w:cs="Arial" w:eastAsia="Arial" w:hAnsi="Arial"/>
          <w:sz w:val="22"/>
          <w:szCs w:val="22"/>
        </w:rPr>
        <w:t xml:space="preserve">Negative findings generated only when explicitly documented. No inferred negation that could create false documentation.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MDM Defensibility — </w:t>
      </w:r>
      <w:r>
        <w:rPr>
          <w:rFonts w:ascii="Arial" w:cs="Arial" w:eastAsia="Arial" w:hAnsi="Arial"/>
          <w:sz w:val="22"/>
          <w:szCs w:val="22"/>
        </w:rPr>
        <w:t xml:space="preserve">Every MDM explicitly justifies why tests were or were not ordered, why treatment was or was not initiated, and why disposition was appropriate.</w:t>
      </w:r>
    </w:p>
    <w:p>
      <w:pPr>
        <w:spacing w:after="1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 Technical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Deterministic, explainable, EHR-agnostic, and deployable at the edge.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Deterministic Logic — </w:t>
      </w:r>
      <w:r>
        <w:rPr>
          <w:rFonts w:ascii="Arial" w:cs="Arial" w:eastAsia="Arial" w:hAnsi="Arial"/>
          <w:sz w:val="22"/>
          <w:szCs w:val="22"/>
        </w:rPr>
        <w:t xml:space="preserve">Not a black-box LLM. Outputs are explainable and auditable. Every decision has a traceable rationale.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EHR-Agnostic — </w:t>
      </w:r>
      <w:r>
        <w:rPr>
          <w:rFonts w:ascii="Arial" w:cs="Arial" w:eastAsia="Arial" w:hAnsi="Arial"/>
          <w:sz w:val="22"/>
          <w:szCs w:val="22"/>
        </w:rPr>
        <w:t xml:space="preserve">Designed to work with Epic, Athena, Cerner, CareCloud. Read-only layer; non-destructive to the medical record.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Edge-Deployable — </w:t>
      </w:r>
      <w:r>
        <w:rPr>
          <w:rFonts w:ascii="Arial" w:cs="Arial" w:eastAsia="Arial" w:hAnsi="Arial"/>
          <w:sz w:val="22"/>
          <w:szCs w:val="22"/>
        </w:rPr>
        <w:t xml:space="preserve">Local-first architecture option for data sovereignty and HIPAA compliance. Minimizes PHI transmission.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Canonical Specification (v1.0) — </w:t>
      </w:r>
      <w:r>
        <w:rPr>
          <w:rFonts w:ascii="Arial" w:cs="Arial" w:eastAsia="Arial" w:hAnsi="Arial"/>
          <w:sz w:val="22"/>
          <w:szCs w:val="22"/>
        </w:rPr>
        <w:t xml:space="preserve">Authority rules, safety kernel, provisional continuation, clinician cognitive intake authority (CCIA), explicit negation enforcement.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Compiler Directive (v2.0) — </w:t>
      </w:r>
      <w:r>
        <w:rPr>
          <w:rFonts w:ascii="Arial" w:cs="Arial" w:eastAsia="Arial" w:hAnsi="Arial"/>
          <w:sz w:val="22"/>
          <w:szCs w:val="22"/>
        </w:rPr>
        <w:t xml:space="preserve">Output enforcement layer with locked section order, failure conditions, and completion rules. Cannot contradict canonical spec.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Coded Python Modules — </w:t>
      </w:r>
      <w:r>
        <w:rPr>
          <w:rFonts w:ascii="Arial" w:cs="Arial" w:eastAsia="Arial" w:hAnsi="Arial"/>
          <w:sz w:val="22"/>
          <w:szCs w:val="22"/>
        </w:rPr>
        <w:t xml:space="preserve">billing.py (MDM calculation), logic_engine.py (WRS + hard interrupts + complaint bundles), note_generator.py (documentation output), server.py (Flask web UI), app_supervision.py (APP audit engine).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OpenMDS Demo Environment — </w:t>
      </w:r>
      <w:r>
        <w:rPr>
          <w:rFonts w:ascii="Arial" w:cs="Arial" w:eastAsia="Arial" w:hAnsi="Arial"/>
          <w:sz w:val="22"/>
          <w:szCs w:val="22"/>
        </w:rPr>
        <w:t xml:space="preserve">Full-function demo EHR with OCR/CV intake pipeline for investor demonstrations without production EHR dependencies.</w:t>
      </w:r>
    </w:p>
    <w:p>
      <w:pPr>
        <w:spacing w:after="200"/>
      </w:pPr>
    </w:p>
    <w:p>
      <w:pPr>
        <w:spacing w:before="250" w:after="10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Competitive Comparison</w:t>
      </w:r>
    </w:p>
    <w:p>
      <w:pPr>
        <w:spacing w:after="5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4"/>
        <w:gridCol w:w="1404"/>
        <w:gridCol w:w="1404"/>
        <w:gridCol w:w="1404"/>
        <w:gridCol w:w="1404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Scribes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Diff. Gen.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EHR AI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ANANSI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Clinical note generation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MDM + billing justification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Risk stratification before output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interrupts (forced escalation)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Antibiotic coverage gap detection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supervision / chart audit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OCR/CV chart hydration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Prior auth denial prevention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Works on any EHR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30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i/>
          <w:iCs/>
          <w:color w:val="0D7377"/>
          <w:sz w:val="24"/>
          <w:szCs w:val="24"/>
        </w:rPr>
        <w:t xml:space="preserve">Scribes solve documentation burden. Anansi solves cognitive burden.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Other tools generate output. Anansi constrains the decision space first, then generates output.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RRI, LLC — Rabid Raccoon Intelligence  |  Kyra Dawson, DO — Founder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RRI, LLC — Rabid Raccoon Intelligence  |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D7377"/>
        <w:sz w:val="18"/>
        <w:szCs w:val="18"/>
      </w:rPr>
      <w:t xml:space="preserve">ANANSI </w:t>
    </w:r>
    <w:r>
      <w:rPr>
        <w:rFonts w:ascii="Arial" w:cs="Arial" w:eastAsia="Arial" w:hAnsi="Arial"/>
        <w:color w:val="999999"/>
        <w:sz w:val="18"/>
        <w:szCs w:val="18"/>
      </w:rPr>
      <w:t xml:space="preserve">Clinical Intelligence System — Full Capability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2026-02-08T00:48:00.146Z</dcterms:created>
  <dcterms:modified xsi:type="dcterms:W3CDTF">2026-02-08T00:48:00.146Z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