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2d634ccb0689b34a472dfaee5dc2f4606fa6de3"/>
    <w:p>
      <w:pPr>
        <w:pStyle w:val="Heading1"/>
      </w:pPr>
      <w:r>
        <w:t xml:space="preserve">Anexo metodológico — Repositorio de datos originales Data-Gobierno-Democracia</w:t>
      </w:r>
    </w:p>
    <w:p>
      <w:pPr>
        <w:pStyle w:val="FirstParagraph"/>
      </w:pPr>
      <w:r>
        <w:rPr>
          <w:bCs/>
          <w:b/>
        </w:rPr>
        <w:t xml:space="preserve">Versión:</w:t>
      </w:r>
      <w:r>
        <w:t xml:space="preserve"> </w:t>
      </w:r>
      <w:r>
        <w:t xml:space="preserve">borrador 0.2 ·</w:t>
      </w:r>
      <w:r>
        <w:t xml:space="preserve"> </w:t>
      </w:r>
      <w:r>
        <w:rPr>
          <w:bCs/>
          <w:b/>
        </w:rPr>
        <w:t xml:space="preserve">Fecha:</w:t>
      </w:r>
      <w:r>
        <w:t xml:space="preserve"> </w:t>
      </w:r>
      <w:r>
        <w:t xml:space="preserve">2026-09-17 ·</w:t>
      </w:r>
      <w:r>
        <w:t xml:space="preserve"> </w:t>
      </w:r>
      <w:r>
        <w:rPr>
          <w:bCs/>
          <w:b/>
        </w:rPr>
        <w:t xml:space="preserve">Estado:</w:t>
      </w:r>
      <w:r>
        <w:t xml:space="preserve"> </w:t>
      </w:r>
      <w:r>
        <w:t xml:space="preserve">en revisión</w:t>
      </w:r>
    </w:p>
    <w:p>
      <w:r>
        <w:pict>
          <v:rect style="width:0;height:1.5pt" o:hralign="center" o:hrstd="t" o:hr="t"/>
        </w:pict>
      </w:r>
    </w:p>
    <w:bookmarkStart w:id="20" w:name="Xd0cf40091e9167ab7272f5b791f284e859ca0ee"/>
    <w:p>
      <w:pPr>
        <w:pStyle w:val="Heading2"/>
      </w:pPr>
      <w:r>
        <w:t xml:space="preserve">1. Propósito y alcance</w:t>
      </w:r>
    </w:p>
    <w:p>
      <w:pPr>
        <w:pStyle w:val="FirstParagraph"/>
      </w:pPr>
      <w:r>
        <w:t xml:space="preserve">Este repositorio reúne, en un solo lugar y con registro verificable,</w:t>
      </w:r>
      <w:r>
        <w:t xml:space="preserve"> </w:t>
      </w:r>
      <w:r>
        <w:rPr>
          <w:bCs/>
          <w:b/>
        </w:rPr>
        <w:t xml:space="preserve">los datos originales</w:t>
      </w:r>
      <w:r>
        <w:t xml:space="preserve"> </w:t>
      </w:r>
      <w:r>
        <w:t xml:space="preserve">que sustentaron el diagnóstico del Proyecto Provincias (Planes Estratégicos Provinciales de Antioquia). Cada archivo está como lo entregó su fuente, identificado por su huella digital y documentado con su origen.</w:t>
      </w:r>
    </w:p>
    <w:p>
      <w:pPr>
        <w:pStyle w:val="BodyText"/>
      </w:pPr>
      <w:r>
        <w:t xml:space="preserve">El documento está escrito para tres lectores:</w:t>
      </w:r>
    </w:p>
    <w:p>
      <w:pPr>
        <w:numPr>
          <w:ilvl w:val="0"/>
          <w:numId w:val="1001"/>
        </w:numPr>
        <w:pStyle w:val="Compact"/>
      </w:pPr>
      <w:r>
        <w:t xml:space="preserve">quien necesita</w:t>
      </w:r>
      <w:r>
        <w:t xml:space="preserve"> </w:t>
      </w:r>
      <w:r>
        <w:rPr>
          <w:bCs/>
          <w:b/>
        </w:rPr>
        <w:t xml:space="preserve">encontrar y usar</w:t>
      </w:r>
      <w:r>
        <w:t xml:space="preserve"> </w:t>
      </w:r>
      <w:r>
        <w:t xml:space="preserve">un dato;</w:t>
      </w:r>
    </w:p>
    <w:p>
      <w:pPr>
        <w:numPr>
          <w:ilvl w:val="0"/>
          <w:numId w:val="1001"/>
        </w:numPr>
        <w:pStyle w:val="Compact"/>
      </w:pPr>
      <w:r>
        <w:t xml:space="preserve">quien va a</w:t>
      </w:r>
      <w:r>
        <w:t xml:space="preserve"> </w:t>
      </w:r>
      <w:r>
        <w:rPr>
          <w:bCs/>
          <w:b/>
        </w:rPr>
        <w:t xml:space="preserve">agregar o actualizar</w:t>
      </w:r>
      <w:r>
        <w:t xml:space="preserve"> </w:t>
      </w:r>
      <w:r>
        <w:t xml:space="preserve">datos;</w:t>
      </w:r>
    </w:p>
    <w:p>
      <w:pPr>
        <w:numPr>
          <w:ilvl w:val="0"/>
          <w:numId w:val="1001"/>
        </w:numPr>
        <w:pStyle w:val="Compact"/>
      </w:pPr>
      <w:r>
        <w:t xml:space="preserve">quien tiene que</w:t>
      </w:r>
      <w:r>
        <w:t xml:space="preserve"> </w:t>
      </w:r>
      <w:r>
        <w:rPr>
          <w:bCs/>
          <w:b/>
        </w:rPr>
        <w:t xml:space="preserve">auditar</w:t>
      </w:r>
      <w:r>
        <w:t xml:space="preserve"> </w:t>
      </w:r>
      <w:r>
        <w:t xml:space="preserve">el repositorio sin conocer su historia.</w:t>
      </w:r>
    </w:p>
    <w:p>
      <w:pPr>
        <w:pStyle w:val="FirstParagraph"/>
      </w:pPr>
      <w:r>
        <w:rPr>
          <w:bCs/>
          <w:b/>
        </w:rPr>
        <w:t xml:space="preserve">Dentro del alcance:</w:t>
      </w:r>
      <w:r>
        <w:t xml:space="preserve"> </w:t>
      </w:r>
      <w:r>
        <w:t xml:space="preserve">archivos originales, sus metadatos, la tabla maestra territorial y las reglas para mantener todo eso.</w:t>
      </w:r>
    </w:p>
    <w:p>
      <w:pPr>
        <w:pStyle w:val="BodyText"/>
      </w:pPr>
      <w:r>
        <w:rPr>
          <w:bCs/>
          <w:b/>
        </w:rPr>
        <w:t xml:space="preserve">Fuera del alcance:</w:t>
      </w:r>
      <w:r>
        <w:t xml:space="preserve"> </w:t>
      </w:r>
      <w:r>
        <w:t xml:space="preserve">limpieza, homogeneización, cálculo de indicadores, reglas de agregación, tablas, figuras y documentos de diagnóstico. Todo eso ocurre en proyectos que</w:t>
      </w:r>
      <w:r>
        <w:t xml:space="preserve"> </w:t>
      </w:r>
      <w:r>
        <w:rPr>
          <w:bCs/>
          <w:b/>
        </w:rPr>
        <w:t xml:space="preserve">leen</w:t>
      </w:r>
      <w:r>
        <w:t xml:space="preserve"> </w:t>
      </w:r>
      <w:r>
        <w:t xml:space="preserve">este repositorio y nunca escriben en él.</w:t>
      </w:r>
    </w:p>
    <w:bookmarkEnd w:id="20"/>
    <w:bookmarkStart w:id="21" w:name="Xb80c399adf343b515dd82ea0e08d1402427ef4b"/>
    <w:p>
      <w:pPr>
        <w:pStyle w:val="Heading2"/>
      </w:pPr>
      <w:r>
        <w:t xml:space="preserve">2. Principios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Solo originales.</w:t>
      </w:r>
      <w:r>
        <w:t xml:space="preserve"> </w:t>
      </w:r>
      <w:r>
        <w:t xml:space="preserve">Ningún archivo limpiado, recortado, calculado o combinado por el equipo entra como dato. Si existe una versión tratada, lo que se guarda es su original.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Los archivos no se tocan.</w:t>
      </w:r>
      <w:r>
        <w:t xml:space="preserve"> </w:t>
      </w:r>
      <w:r>
        <w:t xml:space="preserve">Un original no se edita, no se renombra y no se sobrescribe. Toda corrección se hace fuera del repositorio.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Todo archivo tiene registro.</w:t>
      </w:r>
      <w:r>
        <w:t xml:space="preserve"> </w:t>
      </w:r>
      <w:r>
        <w:t xml:space="preserve">Un archivo sin fila en el registro de fuentes no existe para el repositorio. Una fila sin archivo es un pendiente.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 huella manda.</w:t>
      </w:r>
      <w:r>
        <w:t xml:space="preserve"> </w:t>
      </w:r>
      <w:r>
        <w:t xml:space="preserve">La integridad se comprueba con el MD5 del archivo, no con su nombre ni con su fecha.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Lo que no se sabe se declara.</w:t>
      </w:r>
      <w:r>
        <w:t xml:space="preserve"> </w:t>
      </w:r>
      <w:r>
        <w:t xml:space="preserve">Un metadato desconocido queda como "por confirmar"; nunca se infiere sin evidencia.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Las decisiones son humanas.</w:t>
      </w:r>
      <w:r>
        <w:t xml:space="preserve"> </w:t>
      </w:r>
      <w:r>
        <w:t xml:space="preserve">Un agente de IA puede preparar, verificar y proponer. Aprobar, decidir y publicar corresponde a una persona (sección 11).</w:t>
      </w:r>
    </w:p>
    <w:bookmarkEnd w:id="21"/>
    <w:bookmarkStart w:id="22" w:name="Xcdf08cdc86e16641aae96349da304dc593291d4"/>
    <w:p>
      <w:pPr>
        <w:pStyle w:val="Heading2"/>
      </w:pPr>
      <w:r>
        <w:t xml:space="preserve">3. Origen del repositorio</w:t>
      </w:r>
    </w:p>
    <w:p>
      <w:pPr>
        <w:pStyle w:val="FirstParagraph"/>
      </w:pPr>
      <w:r>
        <w:t xml:space="preserve">El repositorio nació el 2026-09-16 de una migración desde la carpeta local</w:t>
      </w:r>
      <w:r>
        <w:t xml:space="preserve"> </w:t>
      </w:r>
      <w:r>
        <w:rPr>
          <w:rStyle w:val="VerbatimChar"/>
        </w:rPr>
        <w:t xml:space="preserve">Proyecto-Provincias v2</w:t>
      </w:r>
      <w:r>
        <w:t xml:space="preserve">, que era la versión más completa del proyecto. La carpeta de origen no se modificó.</w:t>
      </w:r>
    </w:p>
    <w:p>
      <w:pPr>
        <w:pStyle w:val="BodyText"/>
      </w:pPr>
      <w:r>
        <w:rPr>
          <w:bCs/>
          <w:b/>
        </w:rPr>
        <w:t xml:space="preserve">Qué se hizo:</w:t>
      </w:r>
      <w:r>
        <w:t xml:space="preserve"> </w:t>
      </w:r>
      <w:r>
        <w:t xml:space="preserve">se inventariaron los 249 archivos de datos de</w:t>
      </w:r>
      <w:r>
        <w:t xml:space="preserve"> </w:t>
      </w:r>
      <w:r>
        <w:rPr>
          <w:rStyle w:val="VerbatimChar"/>
        </w:rPr>
        <w:t xml:space="preserve">01_Data</w:t>
      </w:r>
      <w:r>
        <w:t xml:space="preserve"> </w:t>
      </w:r>
      <w:r>
        <w:t xml:space="preserve">(sin contar los README). Cada uno se revisó por contenido:</w:t>
      </w:r>
    </w:p>
    <w:p>
      <w:pPr>
        <w:numPr>
          <w:ilvl w:val="0"/>
          <w:numId w:val="1003"/>
        </w:numPr>
        <w:pStyle w:val="Compact"/>
      </w:pPr>
      <w:r>
        <w:t xml:space="preserve">cobertura municipal detectada;</w:t>
      </w:r>
    </w:p>
    <w:p>
      <w:pPr>
        <w:numPr>
          <w:ilvl w:val="0"/>
          <w:numId w:val="1003"/>
        </w:numPr>
        <w:pStyle w:val="Compact"/>
      </w:pPr>
      <w:r>
        <w:t xml:space="preserve">hojas;</w:t>
      </w:r>
    </w:p>
    <w:p>
      <w:pPr>
        <w:numPr>
          <w:ilvl w:val="0"/>
          <w:numId w:val="1003"/>
        </w:numPr>
        <w:pStyle w:val="Compact"/>
      </w:pPr>
      <w:r>
        <w:t xml:space="preserve">columnas agregadas por el equipo;</w:t>
      </w:r>
    </w:p>
    <w:p>
      <w:pPr>
        <w:numPr>
          <w:ilvl w:val="0"/>
          <w:numId w:val="1003"/>
        </w:numPr>
        <w:pStyle w:val="Compact"/>
      </w:pPr>
      <w:r>
        <w:t xml:space="preserve">comparación celda a celda entre archivos parecidos.</w:t>
      </w:r>
    </w:p>
    <w:p>
      <w:pPr>
        <w:pStyle w:val="FirstParagraph"/>
      </w:pPr>
      <w:r>
        <w:t xml:space="preserve">Con esa revisión cada archivo quedó en una de tres categorías (sección 6).</w:t>
      </w:r>
    </w:p>
    <w:p>
      <w:pPr>
        <w:pStyle w:val="BodyText"/>
      </w:pPr>
      <w:r>
        <w:rPr>
          <w:bCs/>
          <w:b/>
        </w:rPr>
        <w:t xml:space="preserve">Resultado: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fill="DDEBF7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Concepto</w:t>
            </w:r>
          </w:p>
        </w:tc>
        <w:tc>
          <w:tcPr>
            <w:shd w:val="clear" w:fill="DDEBF7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Archivos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Revisados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Originales que migran (A: 153 · B: 22)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Copiados, con MD5 verificado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Pendientes por peso (más de 100 MB)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Excluidos por ser tratados (C)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Base nueva por construir: tabla maestra territorial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</w:t>
            </w:r>
          </w:p>
        </w:tc>
      </w:tr>
    </w:tbl>
    <w:p>
      <w:pPr>
        <w:pStyle w:val="BodyText"/>
      </w:pPr>
      <w:r>
        <w:rPr>
          <w:bCs/>
          <w:b/>
        </w:rPr>
        <w:t xml:space="preserve">Por qué se excluyó cada grupo: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fill="DDEBF7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Tipo de archivo excluido</w:t>
            </w:r>
          </w:p>
        </w:tc>
        <w:tc>
          <w:tcPr>
            <w:shd w:val="clear" w:fill="DDEBF7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Archivos</w:t>
            </w:r>
          </w:p>
        </w:tc>
        <w:tc>
          <w:tcPr>
            <w:shd w:val="clear" w:fill="DDEBF7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los reemplaza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Recortes con "PROVINCIAS" en el nombre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Su original, cuando existe; si no, una brecha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Derivados del procesamiento (Parquet)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Los originales que leía cada script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Tableros curados a mano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Su original, cuando existe; si no, una brecha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Listados territoriales parciales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tabla maestra territorial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Cartografía adaptada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Marco Geoestadístico DANE (solo Antioquia)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Extractos o compilados de un original presente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original completo, que sí migra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Duplicados exactos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copia que migra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Documentos de trabajo del equipo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registro de fuentes y variables</w:t>
            </w:r>
          </w:p>
        </w:tc>
      </w:tr>
    </w:tbl>
    <w:p>
      <w:pPr>
        <w:pStyle w:val="BodyText"/>
      </w:pPr>
      <w:r>
        <w:t xml:space="preserve">Tres referencias que no son datos del repositorio siguen siendo útiles: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INVENTARIO_VARIABLES_v_2.xlsx</w:t>
      </w:r>
      <w:r>
        <w:t xml:space="preserve"> </w:t>
      </w:r>
      <w:r>
        <w:t xml:space="preserve">trae fuente, periodo y periodicidad por indicador, y sirve para completar metadatos.</w:t>
      </w:r>
    </w:p>
    <w:p>
      <w:pPr>
        <w:numPr>
          <w:ilvl w:val="0"/>
          <w:numId w:val="1004"/>
        </w:numPr>
        <w:pStyle w:val="Compact"/>
      </w:pPr>
      <w:r>
        <w:t xml:space="preserve">Los scripts de homogeneización del proyecto anterior muestran de qué hoja y columna salía cada variable.</w:t>
      </w:r>
    </w:p>
    <w:p>
      <w:pPr>
        <w:numPr>
          <w:ilvl w:val="0"/>
          <w:numId w:val="1004"/>
        </w:numPr>
        <w:pStyle w:val="Compact"/>
      </w:pPr>
      <w:r>
        <w:t xml:space="preserve">La descripción de archivos que el equipo había hecho en el proyecto anterior, incorporada al registro como punto de partida.</w:t>
      </w:r>
    </w:p>
    <w:p>
      <w:pPr>
        <w:pStyle w:val="FirstParagraph"/>
      </w:pPr>
      <w:r>
        <w:t xml:space="preserve">El repositorio no depende de ese proyecto para operar. La procedencia de cada archivo se establece con el protocolo de la sección 13, no con la ubicación que tuvo antes.</w:t>
      </w:r>
    </w:p>
    <w:bookmarkEnd w:id="22"/>
    <w:bookmarkStart w:id="23" w:name="X0969f8959f15ce6a054e5ac38eeef23aab8c3a4"/>
    <w:p>
      <w:pPr>
        <w:pStyle w:val="Heading2"/>
      </w:pPr>
      <w:r>
        <w:t xml:space="preserve">4. Convenciones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Nombres de archivo:</w:t>
      </w:r>
      <w:r>
        <w:t xml:space="preserve"> </w:t>
      </w:r>
      <w:r>
        <w:t xml:space="preserve">se conservan exactamente como llegaron, con espacios, tildes y erratas. El nombre es parte de la identidad del original.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Carpetas:</w:t>
      </w:r>
      <w:r>
        <w:t xml:space="preserve"> </w:t>
      </w:r>
      <w:r>
        <w:t xml:space="preserve">una por entidad fuente, con subcarpetas cuando la entidad publica varios productos. Los nombres de carpeta no llevan espacios ni tildes.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Fechas:</w:t>
      </w:r>
      <w:r>
        <w:t xml:space="preserve"> </w:t>
      </w:r>
      <w:r>
        <w:t xml:space="preserve">AAAA-MM-DD en documentos y registros.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Llave territorial:</w:t>
      </w:r>
      <w:r>
        <w:t xml:space="preserve"> </w:t>
      </w:r>
      <w:r>
        <w:t xml:space="preserve">código DIVIPOLA del municipio (</w:t>
      </w:r>
      <w:r>
        <w:rPr>
          <w:rStyle w:val="VerbatimChar"/>
        </w:rPr>
        <w:t xml:space="preserve">ind_mpio</w:t>
      </w:r>
      <w:r>
        <w:t xml:space="preserve">, entero de 5001 a 5895 para Antioquia). Los cruces se hacen por código, nunca por nombre.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Codificación:</w:t>
      </w:r>
      <w:r>
        <w:t xml:space="preserve"> </w:t>
      </w:r>
      <w:r>
        <w:t xml:space="preserve">UTF-8 para todo texto que produzca el equipo.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Estados:</w:t>
      </w:r>
      <w:r>
        <w:t xml:space="preserve"> </w:t>
      </w:r>
      <w:r>
        <w:t xml:space="preserve">"por confirmar" para lo que falta verificar y "decisión por tomar" para lo que requiere aprobación humana.</w:t>
      </w:r>
    </w:p>
    <w:bookmarkEnd w:id="23"/>
    <w:bookmarkStart w:id="24" w:name="X1d69c56f5fb85a2e226f2ed21ec0596ddbdbe5f"/>
    <w:p>
      <w:pPr>
        <w:pStyle w:val="Heading2"/>
      </w:pPr>
      <w:r>
        <w:t xml:space="preserve">5. Organización</w:t>
      </w:r>
    </w:p>
    <w:p>
      <w:pPr>
        <w:pStyle w:val="SourceCode"/>
      </w:pPr>
      <w:r>
        <w:rPr>
          <w:rStyle w:val="VerbatimChar"/>
        </w:rPr>
        <w:t xml:space="preserve">Data-Gobierno-Democracia/</w:t>
      </w:r>
      <w:r>
        <w:br/>
      </w:r>
      <w:r>
        <w:rPr>
          <w:rStyle w:val="VerbatimChar"/>
        </w:rPr>
        <w:t xml:space="preserve">├── Sistematización fuentes originales - Proyecto Provincias - v4.xlsx   (registro)</w:t>
      </w:r>
      <w:r>
        <w:br/>
      </w:r>
      <w:r>
        <w:rPr>
          <w:rStyle w:val="VerbatimChar"/>
        </w:rPr>
        <w:t xml:space="preserve">├── manifiesto_integridad.csv                                            (manifiesto)</w:t>
      </w:r>
      <w:r>
        <w:br/>
      </w:r>
      <w:r>
        <w:rPr>
          <w:rStyle w:val="VerbatimChar"/>
        </w:rPr>
        <w:t xml:space="preserve">├── 00_Documentacion/        (este anexo y la bitácora)</w:t>
      </w:r>
      <w:r>
        <w:br/>
      </w:r>
      <w:r>
        <w:rPr>
          <w:rStyle w:val="VerbatimChar"/>
        </w:rPr>
        <w:t xml:space="preserve">└── 01_Datos/</w:t>
      </w:r>
      <w:r>
        <w:br/>
      </w:r>
      <w:r>
        <w:rPr>
          <w:rStyle w:val="VerbatimChar"/>
        </w:rPr>
        <w:t xml:space="preserve">    ├── DANE/</w:t>
      </w:r>
      <w:r>
        <w:br/>
      </w:r>
      <w:r>
        <w:rPr>
          <w:rStyle w:val="VerbatimChar"/>
        </w:rPr>
        <w:t xml:space="preserve">    │   ├── CNPV_2018/  Cuentas_Nacionales/  Deficit_Habitacional/</w:t>
      </w:r>
      <w:r>
        <w:br/>
      </w:r>
      <w:r>
        <w:rPr>
          <w:rStyle w:val="VerbatimChar"/>
        </w:rPr>
        <w:t xml:space="preserve">    │   └── Estadisticas_Vitales/  Marco_Geoestadistico/  Proyecciones_Poblacion/</w:t>
      </w:r>
      <w:r>
        <w:br/>
      </w:r>
      <w:r>
        <w:rPr>
          <w:rStyle w:val="VerbatimChar"/>
        </w:rPr>
        <w:t xml:space="preserve">    ├── DNP/</w:t>
      </w:r>
      <w:r>
        <w:br/>
      </w:r>
      <w:r>
        <w:rPr>
          <w:rStyle w:val="VerbatimChar"/>
        </w:rPr>
        <w:t xml:space="preserve">    │   ├── Desempeno_Fiscal_IDF/  Desempeno_Municipal_MDM/</w:t>
      </w:r>
      <w:r>
        <w:br/>
      </w:r>
      <w:r>
        <w:rPr>
          <w:rStyle w:val="VerbatimChar"/>
        </w:rPr>
        <w:t xml:space="preserve">    │   └── Mapa_Inversiones/  Riesgo_Desastres_IMRC/</w:t>
      </w:r>
      <w:r>
        <w:br/>
      </w:r>
      <w:r>
        <w:rPr>
          <w:rStyle w:val="VerbatimChar"/>
        </w:rPr>
        <w:t xml:space="preserve">    ├── Gobernacion_Antioquia/</w:t>
      </w:r>
      <w:r>
        <w:br/>
      </w:r>
      <w:r>
        <w:rPr>
          <w:rStyle w:val="VerbatimChar"/>
        </w:rPr>
        <w:t xml:space="preserve">    │   ├── Catastro/  DAGRAN/  DAP_Planeacion/  Datalake/</w:t>
      </w:r>
      <w:r>
        <w:br/>
      </w:r>
      <w:r>
        <w:rPr>
          <w:rStyle w:val="VerbatimChar"/>
        </w:rPr>
        <w:t xml:space="preserve">    │   ├── Encuesta_Calidad_de_Vida/  Encuesta_Percepcion_Seguridad/</w:t>
      </w:r>
      <w:r>
        <w:br/>
      </w:r>
      <w:r>
        <w:rPr>
          <w:rStyle w:val="VerbatimChar"/>
        </w:rPr>
        <w:t xml:space="preserve">    │   ├── POTA/Tablas_municipales_octubre/GRUPO_1 ... GRUPO_8/</w:t>
      </w:r>
      <w:r>
        <w:br/>
      </w:r>
      <w:r>
        <w:rPr>
          <w:rStyle w:val="VerbatimChar"/>
        </w:rPr>
        <w:t xml:space="preserve">    │   └── SSSA_Secretaria_Seccional_Salud/  Secretaria_Turismo/</w:t>
      </w:r>
      <w:r>
        <w:br/>
      </w:r>
      <w:r>
        <w:rPr>
          <w:rStyle w:val="VerbatimChar"/>
        </w:rPr>
        <w:t xml:space="preserve">    ├── INS/</w:t>
      </w:r>
      <w:r>
        <w:br/>
      </w:r>
      <w:r>
        <w:rPr>
          <w:rStyle w:val="VerbatimChar"/>
        </w:rPr>
        <w:t xml:space="preserve">    │   └── SIVICAP_IRCA/  SIVIGILA/</w:t>
      </w:r>
      <w:r>
        <w:br/>
      </w:r>
      <w:r>
        <w:rPr>
          <w:rStyle w:val="VerbatimChar"/>
        </w:rPr>
        <w:t xml:space="preserve">    ├── ANM/  Contraloria/  Funcion_Publica_FURAG/  Global_Forest_Watch/</w:t>
      </w:r>
      <w:r>
        <w:br/>
      </w:r>
      <w:r>
        <w:rPr>
          <w:rStyle w:val="VerbatimChar"/>
        </w:rPr>
        <w:t xml:space="preserve">    ├── IDEAM/  MEN/  Migracion_Colombia_SITA/  Parques_Nacionales_RUNAP/</w:t>
      </w:r>
      <w:r>
        <w:br/>
      </w:r>
      <w:r>
        <w:rPr>
          <w:rStyle w:val="VerbatimChar"/>
        </w:rPr>
        <w:t xml:space="preserve">    ├── Policia_Nacional/  Superintendencia_Subsidio_Familiar/  UARIV/</w:t>
      </w:r>
      <w:r>
        <w:br/>
      </w:r>
      <w:r>
        <w:rPr>
          <w:rStyle w:val="VerbatimChar"/>
        </w:rPr>
        <w:t xml:space="preserve">    ├── UBPD/  UNGRD/  UNODC_SIMCI/  URT/  XM/</w:t>
      </w:r>
      <w:r>
        <w:br/>
      </w:r>
      <w:r>
        <w:rPr>
          <w:rStyle w:val="VerbatimChar"/>
        </w:rPr>
        <w:t xml:space="preserve">    ├── _Compilaciones_equipo/     (compilaciones de varias fuentes, B)</w:t>
      </w:r>
      <w:r>
        <w:br/>
      </w:r>
      <w:r>
        <w:rPr>
          <w:rStyle w:val="VerbatimChar"/>
        </w:rPr>
        <w:t xml:space="preserve">    └── _Entidad_por_confirmar/    (entidad no verificada)</w:t>
      </w:r>
    </w:p>
    <w:p>
      <w:pPr>
        <w:pStyle w:val="FirstParagraph"/>
      </w:pPr>
      <w:r>
        <w:t xml:space="preserve">En la raíz solo están los dos archivos de control: el registro de fuentes y variables, y el manifiesto (sección 9). Los datos viven únicamente en</w:t>
      </w:r>
      <w:r>
        <w:t xml:space="preserve"> </w:t>
      </w:r>
      <w:r>
        <w:rPr>
          <w:rStyle w:val="VerbatimChar"/>
        </w:rPr>
        <w:t xml:space="preserve">01_Datos/</w:t>
      </w:r>
      <w:r>
        <w:t xml:space="preserve"> </w:t>
      </w:r>
      <w:r>
        <w:t xml:space="preserve">y la documentación en</w:t>
      </w:r>
      <w:r>
        <w:t xml:space="preserve"> </w:t>
      </w:r>
      <w:r>
        <w:rPr>
          <w:rStyle w:val="VerbatimChar"/>
        </w:rPr>
        <w:t xml:space="preserve">00_Documentacion/</w:t>
      </w:r>
      <w:r>
        <w:t xml:space="preserve">.</w:t>
      </w:r>
    </w:p>
    <w:p>
      <w:pPr>
        <w:pStyle w:val="BodyText"/>
      </w:pPr>
      <w:r>
        <w:t xml:space="preserve">Las carpetas que empiezan por guion bajo son transitorias. Un archivo sale de ellas cuando se confirma su entidad o se consigue el original de cada parte.</w:t>
      </w:r>
    </w:p>
    <w:p>
      <w:pPr>
        <w:pStyle w:val="BodyText"/>
      </w:pPr>
      <w:r>
        <w:rPr>
          <w:bCs/>
          <w:b/>
        </w:rPr>
        <w:t xml:space="preserve">Contenido al inicio: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fill="DDEBF7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Entidad</w:t>
            </w:r>
          </w:p>
        </w:tc>
        <w:tc>
          <w:tcPr>
            <w:shd w:val="clear" w:fill="DDEBF7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Archivos</w:t>
            </w:r>
          </w:p>
        </w:tc>
        <w:tc>
          <w:tcPr>
            <w:shd w:val="clear" w:fill="DDEBF7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Entidad</w:t>
            </w:r>
          </w:p>
        </w:tc>
        <w:tc>
          <w:tcPr>
            <w:shd w:val="clear" w:fill="DDEBF7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Archivos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Gobernación de Antioquia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Migración Colombia (SITA)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DANE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Función Pública (FURAG)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DNP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11 entidades con 1 archivo cada una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UARIV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Carpetas transitorias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UNGRD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172</w:t>
            </w:r>
          </w:p>
        </w:tc>
      </w:tr>
    </w:tbl>
    <w:p>
      <w:pPr>
        <w:pStyle w:val="BodyText"/>
      </w:pPr>
      <w:r>
        <w:t xml:space="preserve">De los 120 archivos de la Gobernación, 91 son las tablas municipales POTA.</w:t>
      </w:r>
    </w:p>
    <w:bookmarkEnd w:id="24"/>
    <w:bookmarkStart w:id="25" w:name="X8abd36460c0317938b4b1dc6cfa2ee93d8d44ce"/>
    <w:p>
      <w:pPr>
        <w:pStyle w:val="Heading2"/>
      </w:pPr>
      <w:r>
        <w:t xml:space="preserve">6. Criterios de admisión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fill="DDEBF7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Categoría</w:t>
            </w:r>
          </w:p>
        </w:tc>
        <w:tc>
          <w:tcPr>
            <w:shd w:val="clear" w:fill="DDEBF7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  <w:tc>
          <w:tcPr>
            <w:shd w:val="clear" w:fill="DDEBF7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¿Entra?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A. Original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Archivo tal como lo entregó o publicó la entidad.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B. Original de captura o compilación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 es la descarga directa, pero no transforma valores. Incluye: copia manual de tablas web, reconstrucción desde una captura de navegador, compilación de cuadros de varias fuentes o columnas del proyecto añadidas sin cambiar los datos.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Sí, con nota que explique qué lo hace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C. Tratado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Tiene limpieza, filtro, recorte, cálculo, cruce, agregación o formato del proyecto; o es un extracto o duplicado de un original que ya está.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</w:tr>
    </w:tbl>
    <w:p>
      <w:pPr>
        <w:pStyle w:val="BodyText"/>
      </w:pPr>
      <w:r>
        <w:rPr>
          <w:bCs/>
          <w:b/>
        </w:rPr>
        <w:t xml:space="preserve">Reglas que no admiten excepción:</w:t>
      </w:r>
    </w:p>
    <w:p>
      <w:pPr>
        <w:numPr>
          <w:ilvl w:val="0"/>
          <w:numId w:val="1006"/>
        </w:numPr>
        <w:pStyle w:val="Compact"/>
      </w:pPr>
      <w:r>
        <w:t xml:space="preserve">Ningún archivo con "PROVINCIAS" en el nombre entra: son recortes hechos para el proyecto anterior.</w:t>
      </w:r>
    </w:p>
    <w:p>
      <w:pPr>
        <w:numPr>
          <w:ilvl w:val="0"/>
          <w:numId w:val="1006"/>
        </w:numPr>
        <w:pStyle w:val="Compact"/>
      </w:pPr>
      <w:r>
        <w:t xml:space="preserve">Si existen a la vez un extracto y su original completo, entra solo el original.</w:t>
      </w:r>
    </w:p>
    <w:p>
      <w:pPr>
        <w:numPr>
          <w:ilvl w:val="0"/>
          <w:numId w:val="1006"/>
        </w:numPr>
        <w:pStyle w:val="Compact"/>
      </w:pPr>
      <w:r>
        <w:t xml:space="preserve">Un archivo C solo reemplaza a un original ausente como excepción aprobada por una persona, y queda registrado como brecha abierta.</w:t>
      </w:r>
    </w:p>
    <w:p>
      <w:pPr>
        <w:numPr>
          <w:ilvl w:val="0"/>
          <w:numId w:val="1006"/>
        </w:numPr>
        <w:pStyle w:val="Compact"/>
      </w:pPr>
      <w:r>
        <w:t xml:space="preserve">Los archivos B se revisan periódicamente para sustituirlos por la descarga directa cuando esté disponible.</w:t>
      </w:r>
    </w:p>
    <w:p>
      <w:pPr>
        <w:pStyle w:val="FirstParagraph"/>
      </w:pPr>
      <w:r>
        <w:rPr>
          <w:bCs/>
          <w:b/>
        </w:rPr>
        <w:t xml:space="preserve">Casos B al inicio (22):</w:t>
      </w:r>
    </w:p>
    <w:p>
      <w:pPr>
        <w:numPr>
          <w:ilvl w:val="0"/>
          <w:numId w:val="1007"/>
        </w:numPr>
        <w:pStyle w:val="Compact"/>
      </w:pPr>
      <w:r>
        <w:t xml:space="preserve">copia manual del indicador Ley 617 (Contraloría);</w:t>
      </w:r>
    </w:p>
    <w:p>
      <w:pPr>
        <w:numPr>
          <w:ilvl w:val="0"/>
          <w:numId w:val="1007"/>
        </w:numPr>
        <w:pStyle w:val="Compact"/>
      </w:pPr>
      <w:r>
        <w:t xml:space="preserve">consulta IDF con hojas de trabajo;</w:t>
      </w:r>
    </w:p>
    <w:p>
      <w:pPr>
        <w:numPr>
          <w:ilvl w:val="0"/>
          <w:numId w:val="1007"/>
        </w:numPr>
        <w:pStyle w:val="Compact"/>
      </w:pPr>
      <w:r>
        <w:t xml:space="preserve">sujetos de reparación colectiva, reconstruidos desde una captura</w:t>
      </w:r>
      <w:r>
        <w:t xml:space="preserve"> </w:t>
      </w:r>
      <w:r>
        <w:rPr>
          <w:rStyle w:val="VerbatimChar"/>
        </w:rPr>
        <w:t xml:space="preserve">.har</w:t>
      </w:r>
      <w:r>
        <w:t xml:space="preserve">, y las cuatro capturas</w:t>
      </w:r>
      <w:r>
        <w:t xml:space="preserve"> </w:t>
      </w:r>
      <w:r>
        <w:rPr>
          <w:rStyle w:val="VerbatimChar"/>
        </w:rPr>
        <w:t xml:space="preserve">.har</w:t>
      </w:r>
      <w:r>
        <w:t xml:space="preserve">;</w:t>
      </w:r>
    </w:p>
    <w:p>
      <w:pPr>
        <w:numPr>
          <w:ilvl w:val="0"/>
          <w:numId w:val="1007"/>
        </w:numPr>
        <w:pStyle w:val="Compact"/>
      </w:pPr>
      <w:r>
        <w:t xml:space="preserve">compilaciones de salud, de seguridad y DDHH, del RUV, de la UBPD y de turismo;</w:t>
      </w:r>
    </w:p>
    <w:p>
      <w:pPr>
        <w:numPr>
          <w:ilvl w:val="0"/>
          <w:numId w:val="1007"/>
        </w:numPr>
        <w:pStyle w:val="Compact"/>
      </w:pPr>
      <w:r>
        <w:t xml:space="preserve">títulos mineros y plantas de energía con limpieza inicial;</w:t>
      </w:r>
    </w:p>
    <w:p>
      <w:pPr>
        <w:numPr>
          <w:ilvl w:val="0"/>
          <w:numId w:val="1007"/>
        </w:numPr>
        <w:pStyle w:val="Compact"/>
      </w:pPr>
      <w:r>
        <w:t xml:space="preserve">el cruce espacial de áreas protegidas;</w:t>
      </w:r>
    </w:p>
    <w:p>
      <w:pPr>
        <w:numPr>
          <w:ilvl w:val="0"/>
          <w:numId w:val="1007"/>
        </w:numPr>
        <w:pStyle w:val="Compact"/>
      </w:pPr>
      <w:r>
        <w:t xml:space="preserve">el área municipal sin fuente documentada;</w:t>
      </w:r>
    </w:p>
    <w:p>
      <w:pPr>
        <w:numPr>
          <w:ilvl w:val="0"/>
          <w:numId w:val="1007"/>
        </w:numPr>
        <w:pStyle w:val="Compact"/>
      </w:pPr>
      <w:r>
        <w:t xml:space="preserve">la base de extranjeros con una hoja agregada;</w:t>
      </w:r>
    </w:p>
    <w:p>
      <w:pPr>
        <w:numPr>
          <w:ilvl w:val="0"/>
          <w:numId w:val="1007"/>
        </w:numPr>
        <w:pStyle w:val="Compact"/>
      </w:pPr>
      <w:r>
        <w:t xml:space="preserve">proyecciones de población con hojas de rangos;</w:t>
      </w:r>
    </w:p>
    <w:p>
      <w:pPr>
        <w:numPr>
          <w:ilvl w:val="0"/>
          <w:numId w:val="1007"/>
        </w:numPr>
        <w:pStyle w:val="Compact"/>
      </w:pPr>
      <w:r>
        <w:t xml:space="preserve">tres documentos de observaciones POTA.</w:t>
      </w:r>
    </w:p>
    <w:bookmarkEnd w:id="25"/>
    <w:bookmarkStart w:id="26" w:name="X45024b8b040731482d6e468c05753289a94b5ab"/>
    <w:p>
      <w:pPr>
        <w:pStyle w:val="Heading2"/>
      </w:pPr>
      <w:r>
        <w:t xml:space="preserve">7. Registro de fuentes y variables</w:t>
      </w:r>
    </w:p>
    <w:p>
      <w:pPr>
        <w:pStyle w:val="FirstParagraph"/>
      </w:pPr>
      <w:r>
        <w:t xml:space="preserve">El registro es el libro de sistematización. Sus hojas cumplen las funciones que se describen abajo.</w:t>
      </w:r>
    </w:p>
    <w:p>
      <w:pPr>
        <w:pStyle w:val="BodyText"/>
      </w:pPr>
      <w:r>
        <w:rPr>
          <w:bCs/>
          <w:b/>
        </w:rPr>
        <w:t xml:space="preserve">Fuentes.</w:t>
      </w:r>
      <w:r>
        <w:t xml:space="preserve"> </w:t>
      </w:r>
      <w:r>
        <w:t xml:space="preserve">Una fila por archivo del repositorio. Campos mínimos obligatorios: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fill="DDEBF7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shd w:val="clear" w:fill="DDEBF7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Contenido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 archivo, ruta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Identificación exacta en el repositorio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Categoría y nota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 o B; en B, qué lo hace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Entidad fuente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produce el dato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URL con fecha de consulta, solicitud oficial o forma de obtención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Fecha de corte y de descarga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Cuándo mide el dato y cuándo se obtuvo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Cobertura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Territorial (nacional, Antioquia, parcial con número de municipios) y temporal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Vigente, no vigente o por confirmar, cuando hay varias del mismo producto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Formato, peso, MD5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Para verificar integridad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Procedencia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Nivel (verificada, documentada, por confirmar, desconocida), evidencia y condiciones de uso (sección 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Registros individuales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Sí/No: personas, casos, titulares o predios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que responde por el archivo</w:t>
            </w:r>
          </w:p>
        </w:tc>
      </w:tr>
    </w:tbl>
    <w:p>
      <w:pPr>
        <w:pStyle w:val="BodyText"/>
      </w:pPr>
      <w:r>
        <w:rPr>
          <w:bCs/>
          <w:b/>
        </w:rPr>
        <w:t xml:space="preserve">Variables.</w:t>
      </w:r>
      <w:r>
        <w:t xml:space="preserve"> </w:t>
      </w:r>
      <w:r>
        <w:t xml:space="preserve">Una fila por variable, con: identificador, definición, tipo y unidad de medida, disponibilidad temporal, archivo original,</w:t>
      </w:r>
      <w:r>
        <w:t xml:space="preserve"> </w:t>
      </w:r>
      <w:r>
        <w:rPr>
          <w:bCs/>
          <w:b/>
        </w:rPr>
        <w:t xml:space="preserve">hoja y campo dentro del original</w:t>
      </w:r>
      <w:r>
        <w:t xml:space="preserve">, y estado de anclaje. Los estados posibles son: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Directo:</w:t>
      </w:r>
      <w:r>
        <w:t xml:space="preserve"> </w:t>
      </w:r>
      <w:r>
        <w:t xml:space="preserve">el campo está identificado.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Por confirmar:</w:t>
      </w:r>
      <w:r>
        <w:t xml:space="preserve"> </w:t>
      </w:r>
      <w:r>
        <w:t xml:space="preserve">se sabe el archivo, falta la hoja o la columna.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Brecha parcial:</w:t>
      </w:r>
      <w:r>
        <w:t xml:space="preserve"> </w:t>
      </w:r>
      <w:r>
        <w:t xml:space="preserve">el original disponible no cubre toda la variable.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Brecha:</w:t>
      </w:r>
      <w:r>
        <w:t xml:space="preserve"> </w:t>
      </w:r>
      <w:r>
        <w:t xml:space="preserve">no hay original.</w:t>
      </w:r>
    </w:p>
    <w:p>
      <w:pPr>
        <w:pStyle w:val="FirstParagraph"/>
      </w:pPr>
      <w:r>
        <w:rPr>
          <w:bCs/>
          <w:b/>
        </w:rPr>
        <w:t xml:space="preserve">Excluidos.</w:t>
      </w:r>
      <w:r>
        <w:t xml:space="preserve"> </w:t>
      </w:r>
      <w:r>
        <w:t xml:space="preserve">Archivos que no entran, con su tipo de tratamiento y el original que los reemplaza.</w:t>
      </w:r>
    </w:p>
    <w:p>
      <w:pPr>
        <w:pStyle w:val="BodyText"/>
      </w:pPr>
      <w:r>
        <w:rPr>
          <w:bCs/>
          <w:b/>
        </w:rPr>
        <w:t xml:space="preserve">Brechas y Pendientes.</w:t>
      </w:r>
      <w:r>
        <w:t xml:space="preserve"> </w:t>
      </w:r>
      <w:r>
        <w:t xml:space="preserve">Lo que falta resolver, con prioridad y decisión requerida.</w:t>
      </w:r>
    </w:p>
    <w:p>
      <w:pPr>
        <w:pStyle w:val="BodyText"/>
      </w:pPr>
      <w:r>
        <w:rPr>
          <w:bCs/>
          <w:b/>
        </w:rPr>
        <w:t xml:space="preserve">Bitácora.</w:t>
      </w:r>
      <w:r>
        <w:t xml:space="preserve"> </w:t>
      </w:r>
      <w:r>
        <w:t xml:space="preserve">Un registro por cambio: fecha, qué cambió, valor anterior, valor nuevo, motivo, evidencia y quién aprobó.</w:t>
      </w:r>
    </w:p>
    <w:bookmarkEnd w:id="26"/>
    <w:bookmarkStart w:id="27" w:name="X8ddaaf35083e47b4433a96f3e85675f34afbc64"/>
    <w:p>
      <w:pPr>
        <w:pStyle w:val="Heading2"/>
      </w:pPr>
      <w:r>
        <w:t xml:space="preserve">8. Tabla maestra territorial</w:t>
      </w:r>
    </w:p>
    <w:p>
      <w:pPr>
        <w:pStyle w:val="FirstParagraph"/>
      </w:pPr>
      <w:r>
        <w:t xml:space="preserve">Es la única base que el repositorio construye, y se trata como un original porque ninguna fuente disponible la ofrece completa.</w:t>
      </w:r>
    </w:p>
    <w:p>
      <w:pPr>
        <w:pStyle w:val="BodyText"/>
      </w:pPr>
      <w:r>
        <w:rPr>
          <w:bCs/>
          <w:b/>
        </w:rPr>
        <w:t xml:space="preserve">Contenido:</w:t>
      </w:r>
      <w:r>
        <w:t xml:space="preserve"> </w:t>
      </w:r>
      <w:r>
        <w:t xml:space="preserve">una fila por cada uno de los 125 municipios de Antioquia, con estas columnas:</w:t>
      </w:r>
    </w:p>
    <w:p>
      <w:pPr>
        <w:numPr>
          <w:ilvl w:val="0"/>
          <w:numId w:val="1009"/>
        </w:numPr>
        <w:pStyle w:val="Compact"/>
      </w:pPr>
      <w:r>
        <w:t xml:space="preserve">código DIVIPOLA;</w:t>
      </w:r>
    </w:p>
    <w:p>
      <w:pPr>
        <w:numPr>
          <w:ilvl w:val="0"/>
          <w:numId w:val="1009"/>
        </w:numPr>
        <w:pStyle w:val="Compact"/>
      </w:pPr>
      <w:r>
        <w:t xml:space="preserve">nombre normalizado (mayúsculas, sin tildes, para cruces);</w:t>
      </w:r>
    </w:p>
    <w:p>
      <w:pPr>
        <w:numPr>
          <w:ilvl w:val="0"/>
          <w:numId w:val="1009"/>
        </w:numPr>
        <w:pStyle w:val="Compact"/>
      </w:pPr>
      <w:r>
        <w:t xml:space="preserve">nombre de presentación;</w:t>
      </w:r>
    </w:p>
    <w:p>
      <w:pPr>
        <w:numPr>
          <w:ilvl w:val="0"/>
          <w:numId w:val="1009"/>
        </w:numPr>
        <w:pStyle w:val="Compact"/>
      </w:pPr>
      <w:r>
        <w:t xml:space="preserve">subregión DANE;</w:t>
      </w:r>
    </w:p>
    <w:p>
      <w:pPr>
        <w:numPr>
          <w:ilvl w:val="0"/>
          <w:numId w:val="1009"/>
        </w:numPr>
        <w:pStyle w:val="Compact"/>
      </w:pPr>
      <w:r>
        <w:t xml:space="preserve">esquema asociativo;</w:t>
      </w:r>
    </w:p>
    <w:p>
      <w:pPr>
        <w:numPr>
          <w:ilvl w:val="0"/>
          <w:numId w:val="1009"/>
        </w:numPr>
        <w:pStyle w:val="Compact"/>
      </w:pPr>
      <w:r>
        <w:t xml:space="preserve">identificador de provincia.</w:t>
      </w:r>
    </w:p>
    <w:p>
      <w:pPr>
        <w:pStyle w:val="FirstParagraph"/>
      </w:pPr>
      <w:r>
        <w:rPr>
          <w:bCs/>
          <w:b/>
        </w:rPr>
        <w:t xml:space="preserve">Estado: decisión por tomar.</w:t>
      </w:r>
      <w:r>
        <w:t xml:space="preserve"> </w:t>
      </w:r>
      <w:r>
        <w:t xml:space="preserve">Las fuentes que la componían no coinciden:</w:t>
      </w:r>
    </w:p>
    <w:p>
      <w:pPr>
        <w:numPr>
          <w:ilvl w:val="0"/>
          <w:numId w:val="1010"/>
        </w:numPr>
        <w:pStyle w:val="Compact"/>
      </w:pPr>
      <w:r>
        <w:t xml:space="preserve">Dos listados asignan provincia a 88 municipios.</w:t>
      </w:r>
    </w:p>
    <w:p>
      <w:pPr>
        <w:numPr>
          <w:ilvl w:val="0"/>
          <w:numId w:val="1010"/>
        </w:numPr>
        <w:pStyle w:val="Compact"/>
      </w:pPr>
      <w:r>
        <w:t xml:space="preserve">Otro listado, y el derivado usado en el procesamiento, asignan 90: agregan Amalfi a la provincia Minero Agroecológica y Santa Fe de Antioquia a la Turística y Agroecológica.</w:t>
      </w:r>
    </w:p>
    <w:p>
      <w:pPr>
        <w:numPr>
          <w:ilvl w:val="0"/>
          <w:numId w:val="1010"/>
        </w:numPr>
        <w:pStyle w:val="Compact"/>
      </w:pPr>
      <w:r>
        <w:t xml:space="preserve">Un tercer listado cubre solo 4 de las 11 provincias.</w:t>
      </w:r>
    </w:p>
    <w:p>
      <w:pPr>
        <w:pStyle w:val="FirstParagraph"/>
      </w:pPr>
      <w:r>
        <w:t xml:space="preserve">Además, el nombre de la provincia 5 aparece en varias fuentes como «POVINCIA DEL AGUA, BOSQUES Y TURISMO», con la errata. La tabla maestra usa la forma correcta y deja registrada la variante.</w:t>
      </w:r>
    </w:p>
    <w:p>
      <w:pPr>
        <w:pStyle w:val="BodyText"/>
      </w:pPr>
      <w:r>
        <w:rPr>
          <w:bCs/>
          <w:b/>
        </w:rPr>
        <w:t xml:space="preserve">Reglas:</w:t>
      </w:r>
    </w:p>
    <w:p>
      <w:pPr>
        <w:numPr>
          <w:ilvl w:val="0"/>
          <w:numId w:val="1011"/>
        </w:numPr>
        <w:pStyle w:val="Compact"/>
      </w:pPr>
      <w:r>
        <w:t xml:space="preserve">Solo una persona puede aprobar un cambio en la conformación de provincias.</w:t>
      </w:r>
    </w:p>
    <w:p>
      <w:pPr>
        <w:numPr>
          <w:ilvl w:val="0"/>
          <w:numId w:val="1011"/>
        </w:numPr>
        <w:pStyle w:val="Compact"/>
      </w:pPr>
      <w:r>
        <w:t xml:space="preserve">Cada cambio queda en la bitácora con su acto o fuente oficial.</w:t>
      </w:r>
    </w:p>
    <w:bookmarkEnd w:id="27"/>
    <w:bookmarkStart w:id="28" w:name="X1b07e2e4b112e35a22bdcd6a055873b1822a37b"/>
    <w:p>
      <w:pPr>
        <w:pStyle w:val="Heading2"/>
      </w:pPr>
      <w:r>
        <w:t xml:space="preserve">9. Integridad y trazabilidad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Manifiesto</w:t>
      </w:r>
      <w:r>
        <w:t xml:space="preserve"> </w:t>
      </w:r>
      <w:r>
        <w:t xml:space="preserve">(</w:t>
      </w:r>
      <w:r>
        <w:rPr>
          <w:rStyle w:val="VerbatimChar"/>
        </w:rPr>
        <w:t xml:space="preserve">manifiesto_integridad.csv</w:t>
      </w:r>
      <w:r>
        <w:t xml:space="preserve">, en la raíz): una fila por cada archivo de</w:t>
      </w:r>
      <w:r>
        <w:t xml:space="preserve"> </w:t>
      </w:r>
      <w:r>
        <w:rPr>
          <w:rStyle w:val="VerbatimChar"/>
        </w:rPr>
        <w:t xml:space="preserve">01_Datos/</w:t>
      </w:r>
      <w:r>
        <w:t xml:space="preserve">, con ruta, nombre, categoría, peso en bytes, MD5 y fecha de ingreso. Solo describe el contenido de este repositorio y se genera recorriendo</w:t>
      </w:r>
      <w:r>
        <w:t xml:space="preserve"> </w:t>
      </w:r>
      <w:r>
        <w:rPr>
          <w:rStyle w:val="VerbatimChar"/>
        </w:rPr>
        <w:t xml:space="preserve">01_Datos/</w:t>
      </w:r>
      <w:r>
        <w:t xml:space="preserve">. El registro dice qué es cada archivo; el manifiesto permite comprobar con un script que están todos y que no cambiaron.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Verificación:</w:t>
      </w:r>
      <w:r>
        <w:t xml:space="preserve"> </w:t>
      </w:r>
      <w:r>
        <w:t xml:space="preserve">se recalcula el MD5 de cada archivo y se compara con el manifiesto antes de cada publicación y después de cualquier movimiento de carpetas. Hay tres resultados posibles:</w:t>
      </w:r>
    </w:p>
    <w:p>
      <w:pPr>
        <w:numPr>
          <w:ilvl w:val="1"/>
          <w:numId w:val="1013"/>
        </w:numPr>
        <w:pStyle w:val="Compact"/>
      </w:pPr>
      <w:r>
        <w:t xml:space="preserve">un archivo que no coincide es un cambio no registrado;</w:t>
      </w:r>
    </w:p>
    <w:p>
      <w:pPr>
        <w:numPr>
          <w:ilvl w:val="1"/>
          <w:numId w:val="1013"/>
        </w:numPr>
        <w:pStyle w:val="Compact"/>
      </w:pPr>
      <w:r>
        <w:t xml:space="preserve">un archivo sin fila es un ingreso no registrado;</w:t>
      </w:r>
    </w:p>
    <w:p>
      <w:pPr>
        <w:numPr>
          <w:ilvl w:val="1"/>
          <w:numId w:val="1013"/>
        </w:numPr>
        <w:pStyle w:val="Compact"/>
      </w:pPr>
      <w:r>
        <w:t xml:space="preserve">una fila sin archivo es una pérdida.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Procedencia:</w:t>
      </w:r>
      <w:r>
        <w:t xml:space="preserve"> </w:t>
      </w:r>
      <w:r>
        <w:t xml:space="preserve">se documenta en el registro con el protocolo de la sección 13.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Historial:</w:t>
      </w:r>
      <w:r>
        <w:t xml:space="preserve"> </w:t>
      </w:r>
      <w:r>
        <w:t xml:space="preserve">el control de versiones registra el cuándo; la bitácora registra el porqué y quién lo aprobó.</w:t>
      </w:r>
    </w:p>
    <w:bookmarkEnd w:id="28"/>
    <w:bookmarkStart w:id="29" w:name="X3add37a21bc3621ed855652e1468c364004614a"/>
    <w:p>
      <w:pPr>
        <w:pStyle w:val="Heading2"/>
      </w:pPr>
      <w:r>
        <w:t xml:space="preserve">10. Archivos pesados, registros individuales y acceso</w:t>
      </w:r>
    </w:p>
    <w:p>
      <w:pPr>
        <w:pStyle w:val="FirstParagraph"/>
      </w:pPr>
      <w:r>
        <w:rPr>
          <w:bCs/>
          <w:b/>
        </w:rPr>
        <w:t xml:space="preserve">Archivos pesados.</w:t>
      </w:r>
      <w:r>
        <w:t xml:space="preserve"> </w:t>
      </w:r>
      <w:r>
        <w:t xml:space="preserve">Tres originales superan los 100 MB por archivo que admite GitHub:</w:t>
      </w:r>
    </w:p>
    <w:p>
      <w:pPr>
        <w:numPr>
          <w:ilvl w:val="0"/>
          <w:numId w:val="1014"/>
        </w:numPr>
        <w:pStyle w:val="Compact"/>
      </w:pPr>
      <w:r>
        <w:t xml:space="preserve">líneas de internet fijo de MinTIC (753 MB);</w:t>
      </w:r>
    </w:p>
    <w:p>
      <w:pPr>
        <w:numPr>
          <w:ilvl w:val="0"/>
          <w:numId w:val="1014"/>
        </w:numPr>
        <w:pStyle w:val="Compact"/>
      </w:pPr>
      <w:r>
        <w:t xml:space="preserve">proyecciones de población DANE por edad simple (132 MB);</w:t>
      </w:r>
    </w:p>
    <w:p>
      <w:pPr>
        <w:numPr>
          <w:ilvl w:val="0"/>
          <w:numId w:val="1014"/>
        </w:numPr>
        <w:pStyle w:val="Compact"/>
      </w:pPr>
      <w:r>
        <w:t xml:space="preserve">encuesta de percepción de seguridad (105 MB).</w:t>
      </w:r>
    </w:p>
    <w:p>
      <w:pPr>
        <w:pStyle w:val="FirstParagraph"/>
      </w:pPr>
      <w:r>
        <w:rPr>
          <w:bCs/>
          <w:b/>
        </w:rPr>
        <w:t xml:space="preserve">Decisión por tomar:</w:t>
      </w:r>
      <w:r>
        <w:t xml:space="preserve"> </w:t>
      </w:r>
      <w:r>
        <w:t xml:space="preserve">almacenamiento externo con referencia en el registro, Git LFS u otra opción. Mientras tanto están registrados, pero no copiados.</w:t>
      </w:r>
    </w:p>
    <w:p>
      <w:pPr>
        <w:pStyle w:val="BodyText"/>
      </w:pPr>
      <w:r>
        <w:rPr>
          <w:bCs/>
          <w:b/>
        </w:rPr>
        <w:t xml:space="preserve">Registros individuales.</w:t>
      </w:r>
      <w:r>
        <w:t xml:space="preserve"> </w:t>
      </w:r>
      <w:r>
        <w:t xml:space="preserve">Algunos archivos contienen un registro por persona, caso, titular o predio, aunque estén anonimizados:</w:t>
      </w:r>
    </w:p>
    <w:p>
      <w:pPr>
        <w:numPr>
          <w:ilvl w:val="0"/>
          <w:numId w:val="1015"/>
        </w:numPr>
        <w:pStyle w:val="Compact"/>
      </w:pPr>
      <w:r>
        <w:t xml:space="preserve">encuesta de percepción;</w:t>
      </w:r>
    </w:p>
    <w:p>
      <w:pPr>
        <w:numPr>
          <w:ilvl w:val="0"/>
          <w:numId w:val="1015"/>
        </w:numPr>
        <w:pStyle w:val="Compact"/>
      </w:pPr>
      <w:r>
        <w:t xml:space="preserve">casos SIVIGILA de intento de suicidio;</w:t>
      </w:r>
    </w:p>
    <w:p>
      <w:pPr>
        <w:numPr>
          <w:ilvl w:val="0"/>
          <w:numId w:val="1015"/>
        </w:numPr>
        <w:pStyle w:val="Compact"/>
      </w:pPr>
      <w:r>
        <w:t xml:space="preserve">títulos mineros, que traen el nombre del titular;</w:t>
      </w:r>
    </w:p>
    <w:p>
      <w:pPr>
        <w:numPr>
          <w:ilvl w:val="0"/>
          <w:numId w:val="1015"/>
        </w:numPr>
        <w:pStyle w:val="Compact"/>
      </w:pPr>
      <w:r>
        <w:t xml:space="preserve">tablas POTA por predio.</w:t>
      </w:r>
    </w:p>
    <w:p>
      <w:pPr>
        <w:pStyle w:val="FirstParagraph"/>
      </w:pPr>
      <w:r>
        <w:t xml:space="preserve">Por decisión institucional todo el repositorio es accesible al equipo. La marca en el registro existe para que quien use esos archivos no publique resultados que permitan identificar a alguien, y para revisar esa decisión si el acceso se amplía.</w:t>
      </w:r>
    </w:p>
    <w:bookmarkEnd w:id="29"/>
    <w:bookmarkStart w:id="30" w:name="X9acbe849f5e6adc17b6b68df299abd9f88093ed"/>
    <w:p>
      <w:pPr>
        <w:pStyle w:val="Heading2"/>
      </w:pPr>
      <w:r>
        <w:t xml:space="preserve">11. Personas y agentes de IA</w:t>
      </w:r>
    </w:p>
    <w:p>
      <w:pPr>
        <w:pStyle w:val="FirstParagraph"/>
      </w:pPr>
      <w:r>
        <w:t xml:space="preserve">Un agente de IA puede hacer buena parte del trabajo operativo con rapidez y sin errores de transcripción, pero no tiene autoridad ni responsabilidad institucional. La regla es simple:</w:t>
      </w:r>
      <w:r>
        <w:t xml:space="preserve"> </w:t>
      </w:r>
      <w:r>
        <w:rPr>
          <w:bCs/>
          <w:b/>
        </w:rPr>
        <w:t xml:space="preserve">el agente prepara y verifica; la persona decide y responde.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fill="DDEBF7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El agente de IA puede</w:t>
            </w:r>
          </w:p>
        </w:tc>
        <w:tc>
          <w:tcPr>
            <w:shd w:val="clear" w:fill="DDEBF7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Solo una persona puede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Inventariar archivos y calcular pesos y MD5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Aprobar la categoría de cualquier archivo B y de los casos dudosos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Leer hojas y encabezados; detectar cobertura, recortes y duplicados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Decidir exclusiones y excepciones a los criterios de admisión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Proponer la categoría con su evidencia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Obtener originales: solicitudes a entidades, descargas con credenciales, acuerdos de 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Redactar descripciones y completar el registro con metadatos que estén en el archivo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Confirmar entidad, URL y fecha de corte cuando no constan en el archivo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Investigar la procedencia: buscar la publicación oficial y contrastarla con el archivo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Aportar el conocimiento del equipo y asignar el nivel de procedencia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Anclar variables a hoja y campo, citando la evidencia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Declarar qué versión es la vigente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Generar y verificar el manifiesto; detectar inconsistencias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Aprobar cambios en la tabla maestra territorial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Preparar la propuesta de cambio y la entrada de bitácora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Decidir sobre archivos pesados y registros individuales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Redactar borradores de documentación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Aprobar el ingreso y publicarlo en el repositorio compartido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Cerrar pendientes y brechas</w:t>
            </w:r>
          </w:p>
        </w:tc>
      </w:tr>
    </w:tbl>
    <w:p>
      <w:pPr>
        <w:pStyle w:val="BodyText"/>
      </w:pPr>
      <w:r>
        <w:rPr>
          <w:bCs/>
          <w:b/>
        </w:rPr>
        <w:t xml:space="preserve">Límites para cualquier agente:</w:t>
      </w:r>
    </w:p>
    <w:p>
      <w:pPr>
        <w:numPr>
          <w:ilvl w:val="0"/>
          <w:numId w:val="1016"/>
        </w:numPr>
        <w:pStyle w:val="Compact"/>
      </w:pPr>
      <w:r>
        <w:t xml:space="preserve">No modifica, renombra ni borra originales.</w:t>
      </w:r>
    </w:p>
    <w:p>
      <w:pPr>
        <w:numPr>
          <w:ilvl w:val="0"/>
          <w:numId w:val="1016"/>
        </w:numPr>
        <w:pStyle w:val="Compact"/>
      </w:pPr>
      <w:r>
        <w:t xml:space="preserve">No publica en el repositorio compartido sin aprobación.</w:t>
      </w:r>
    </w:p>
    <w:p>
      <w:pPr>
        <w:numPr>
          <w:ilvl w:val="0"/>
          <w:numId w:val="1016"/>
        </w:numPr>
        <w:pStyle w:val="Compact"/>
      </w:pPr>
      <w:r>
        <w:t xml:space="preserve">No completa metadatos por inferencia.</w:t>
      </w:r>
    </w:p>
    <w:p>
      <w:pPr>
        <w:numPr>
          <w:ilvl w:val="0"/>
          <w:numId w:val="1016"/>
        </w:numPr>
        <w:pStyle w:val="Compact"/>
      </w:pPr>
      <w:r>
        <w:t xml:space="preserve">Toda salida del agente llega como propuesta revisable, con la evidencia que la sustenta.</w:t>
      </w:r>
    </w:p>
    <w:bookmarkEnd w:id="30"/>
    <w:bookmarkStart w:id="31" w:name="Xa465232c3c9a6570393e019b5055e6d7746005d"/>
    <w:p>
      <w:pPr>
        <w:pStyle w:val="Heading2"/>
      </w:pPr>
      <w:r>
        <w:t xml:space="preserve">12. Ciclo común de ingreso</w:t>
      </w:r>
    </w:p>
    <w:p>
      <w:pPr>
        <w:pStyle w:val="FirstParagraph"/>
      </w:pPr>
      <w:r>
        <w:t xml:space="preserve">Agregar un dato nuevo, actualizar uno existente, establecer la procedencia de un archivo y cerrar un pendiente siguen el mismo ciclo. Las secciones 13 a 16 describen solo lo que cambia en cada caso.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fill="DDEBF7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Paso</w:t>
            </w:r>
          </w:p>
        </w:tc>
        <w:tc>
          <w:tcPr>
            <w:shd w:val="clear" w:fill="DDEBF7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se hace</w:t>
            </w:r>
          </w:p>
        </w:tc>
        <w:tc>
          <w:tcPr>
            <w:shd w:val="clear" w:fill="DDEBF7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Quién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1. Obtención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Conseguir el archivo de la entidad y anotar acceso y fecha de descarga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(descargas públicas: agente, con aprobación)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2. Revisión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Leer contenido: hojas, cobertura, columnas agregadas, relación con archivos existentes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Agente o persona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3. Clasificación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Proponer A, B o C con evidencia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Agente o persona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4. Aprobación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Aceptar la clasificación; en B, validar la nota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5. Ubicación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Carpeta de la entidad, sin renombrar el archivo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Agente o persona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6. Registro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Fila en Fuentes con su nivel de procedencia, variables afectadas, fila en el manifiesto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Agente o persona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7. Verificación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Recalcular MD5 y comprobar que el registro y el repositorio coinciden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Agente o persona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8. Bitácora y publicación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 con motivo y aprobador; publicación del cambio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aprueba y publica</w:t>
            </w:r>
          </w:p>
        </w:tc>
      </w:tr>
    </w:tbl>
    <w:p>
      <w:pPr>
        <w:pStyle w:val="BodyText"/>
      </w:pPr>
      <w:r>
        <w:t xml:space="preserve">Un ingreso no está terminado hasta que pasa la verificación del paso 7.</w:t>
      </w:r>
    </w:p>
    <w:bookmarkEnd w:id="31"/>
    <w:bookmarkStart w:id="32" w:name="X1d32910605c0d711195221bfa2f633e4d45d03a"/>
    <w:p>
      <w:pPr>
        <w:pStyle w:val="Heading2"/>
      </w:pPr>
      <w:r>
        <w:t xml:space="preserve">13. Protocolo de investigación de procedencia</w:t>
      </w:r>
    </w:p>
    <w:p>
      <w:pPr>
        <w:pStyle w:val="FirstParagraph"/>
      </w:pPr>
      <w:r>
        <w:t xml:space="preserve">Saber de dónde viene cada archivo es el requisito más importante del repositorio: sin procedencia, un dato no se puede citar, actualizar ni defender. La procedencia no se hereda de la ubicación que tuvo un archivo en otro proyecto; se</w:t>
      </w:r>
      <w:r>
        <w:t xml:space="preserve"> </w:t>
      </w:r>
      <w:r>
        <w:rPr>
          <w:bCs/>
          <w:b/>
        </w:rPr>
        <w:t xml:space="preserve">investiga y documenta</w:t>
      </w:r>
      <w:r>
        <w:t xml:space="preserve"> </w:t>
      </w:r>
      <w:r>
        <w:t xml:space="preserve">en el registro. Es un trabajo conjunto: el agente de IA rastrea y contrasta, y la persona aporta lo que solo sabe el equipo y aprueba el resultado.</w:t>
      </w:r>
    </w:p>
    <w:p>
      <w:pPr>
        <w:pStyle w:val="BodyText"/>
      </w:pPr>
      <w:r>
        <w:rPr>
          <w:bCs/>
          <w:b/>
        </w:rPr>
        <w:t xml:space="preserve">Qué se documenta por archivo:</w:t>
      </w:r>
      <w:r>
        <w:t xml:space="preserve"> </w:t>
      </w:r>
      <w:r>
        <w:t xml:space="preserve">entidad y producto (nombre oficial de la publicación o sistema), acceso (URL exacta con fecha de consulta, o solicitud oficial con su radicado), fecha de corte y fecha de obtención, cobertura, condiciones de uso y la evidencia que sustenta cada dato.</w:t>
      </w:r>
    </w:p>
    <w:p>
      <w:pPr>
        <w:pStyle w:val="BodyText"/>
      </w:pPr>
      <w:r>
        <w:rPr>
          <w:bCs/>
          <w:b/>
        </w:rPr>
        <w:t xml:space="preserve">Niveles de procedencia: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fill="DDEBF7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Nivel</w:t>
            </w:r>
          </w:p>
        </w:tc>
        <w:tc>
          <w:tcPr>
            <w:shd w:val="clear" w:fill="DDEBF7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Significa</w:t>
            </w:r>
          </w:p>
        </w:tc>
        <w:tc>
          <w:tcPr>
            <w:shd w:val="clear" w:fill="DDEBF7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Quién lo asigna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Verificada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publicación oficial se localizó y se contrastó con el archivo: coinciden la estructura, el periodo y una muestra de valores, o la huella de la descarga es idéntica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Persona, con el contraste documentado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Documentada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fuente está identificada con evidencia (enlace oficial, radicado, correo de entrega), pero no se contrastaron los valores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Por confirmar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Hay una hipótesis de fuente sin evidencia suficiente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Agente o persona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Desconocida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investigó y no fue posible establecerla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</w:t>
            </w:r>
          </w:p>
        </w:tc>
      </w:tr>
    </w:tbl>
    <w:p>
      <w:pPr>
        <w:pStyle w:val="BodyText"/>
      </w:pPr>
      <w:r>
        <w:rPr>
          <w:bCs/>
          <w:b/>
        </w:rPr>
        <w:t xml:space="preserve">Pasos: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fill="DDEBF7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Paso</w:t>
            </w:r>
          </w:p>
        </w:tc>
        <w:tc>
          <w:tcPr>
            <w:shd w:val="clear" w:fill="DDEBF7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se hace</w:t>
            </w:r>
          </w:p>
        </w:tc>
        <w:tc>
          <w:tcPr>
            <w:shd w:val="clear" w:fill="DDEBF7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Quién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1. Pistas internas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Leer lo que el propio archivo dice: hojas de índice o notas de "Fuente", encabezados institucionales, propiedades del documento, fechas y nombres de productos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2. Búsqueda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Localizar la publicación oficial candidata: portal, nombre del producto, URL, versión y fecha de publicación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3. Contraste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 hay descarga pública, obtenerla fuera del repositorio y compararla con el archivo: estructura, periodo, muestra de valores, huella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4. Conocimiento del equipo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Aportar lo que no está en internet: quién consiguió el archivo, por qué canal, solicitudes, correos, acuerdos de uso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5. Decisión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Confirmar o descartar la hipótesis y asignar el nivel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6. Registro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Completar los campos de procedencia y la bitácora con la evidencia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Agente o persona</w:t>
            </w:r>
          </w:p>
        </w:tc>
      </w:tr>
    </w:tbl>
    <w:p>
      <w:pPr>
        <w:pStyle w:val="BodyText"/>
      </w:pPr>
      <w:r>
        <w:rPr>
          <w:bCs/>
          <w:b/>
        </w:rPr>
        <w:t xml:space="preserve">Reglas:</w:t>
      </w:r>
    </w:p>
    <w:p>
      <w:pPr>
        <w:numPr>
          <w:ilvl w:val="0"/>
          <w:numId w:val="1017"/>
        </w:numPr>
        <w:pStyle w:val="Compact"/>
      </w:pPr>
      <w:r>
        <w:t xml:space="preserve">El agente no asigna el nivel "verificada" ni "documentada": los propone con su evidencia.</w:t>
      </w:r>
    </w:p>
    <w:p>
      <w:pPr>
        <w:numPr>
          <w:ilvl w:val="0"/>
          <w:numId w:val="1017"/>
        </w:numPr>
        <w:pStyle w:val="Compact"/>
      </w:pPr>
      <w:r>
        <w:t xml:space="preserve">No se registra una URL que no se haya consultado; toda URL lleva su fecha de consulta.</w:t>
      </w:r>
    </w:p>
    <w:p>
      <w:pPr>
        <w:numPr>
          <w:ilvl w:val="0"/>
          <w:numId w:val="1017"/>
        </w:numPr>
        <w:pStyle w:val="Compact"/>
      </w:pPr>
      <w:r>
        <w:t xml:space="preserve">Si la descarga oficial actual difiere del archivo del repositorio,</w:t>
      </w:r>
      <w:r>
        <w:t xml:space="preserve"> </w:t>
      </w:r>
      <w:r>
        <w:rPr>
          <w:bCs/>
          <w:b/>
        </w:rPr>
        <w:t xml:space="preserve">no lo reemplaza</w:t>
      </w:r>
      <w:r>
        <w:t xml:space="preserve">: se registra como otra versión y se sigue el protocolo de actualización (sección 16).</w:t>
      </w:r>
    </w:p>
    <w:p>
      <w:pPr>
        <w:numPr>
          <w:ilvl w:val="0"/>
          <w:numId w:val="1017"/>
        </w:numPr>
        <w:pStyle w:val="Compact"/>
      </w:pPr>
      <w:r>
        <w:t xml:space="preserve">Las fuentes que exigen credenciales, solicitudes formales o contacto con la entidad las gestiona una persona.</w:t>
      </w:r>
    </w:p>
    <w:p>
      <w:pPr>
        <w:numPr>
          <w:ilvl w:val="0"/>
          <w:numId w:val="1017"/>
        </w:numPr>
        <w:pStyle w:val="Compact"/>
      </w:pPr>
      <w:r>
        <w:t xml:space="preserve">Un archivo con procedencia desconocida se conserva, con esa marca visible, hasta que se decida si se reemplaza, se mantiene como B o se retira.</w:t>
      </w:r>
    </w:p>
    <w:p>
      <w:pPr>
        <w:pStyle w:val="FirstParagraph"/>
      </w:pPr>
      <w:r>
        <w:rPr>
          <w:bCs/>
          <w:b/>
        </w:rPr>
        <w:t xml:space="preserve">Orden de trabajo:</w:t>
      </w:r>
      <w:r>
        <w:t xml:space="preserve"> </w:t>
      </w:r>
      <w:r>
        <w:t xml:space="preserve">primero los archivos que sostienen variables, luego los de carpetas transitorias y los de categoría B, y al final el resto.</w:t>
      </w:r>
    </w:p>
    <w:bookmarkEnd w:id="32"/>
    <w:bookmarkStart w:id="33" w:name="X9b6895cb32772da245327525af0fe5f100e0a2e"/>
    <w:p>
      <w:pPr>
        <w:pStyle w:val="Heading2"/>
      </w:pPr>
      <w:r>
        <w:t xml:space="preserve">14. Protocolo de pendientes y brechas</w:t>
      </w:r>
    </w:p>
    <w:p>
      <w:pPr>
        <w:pStyle w:val="FirstParagraph"/>
      </w:pPr>
      <w:r>
        <w:t xml:space="preserve">Un</w:t>
      </w:r>
      <w:r>
        <w:t xml:space="preserve"> </w:t>
      </w:r>
      <w:r>
        <w:rPr>
          <w:bCs/>
          <w:b/>
        </w:rPr>
        <w:t xml:space="preserve">pendiente</w:t>
      </w:r>
      <w:r>
        <w:t xml:space="preserve"> </w:t>
      </w:r>
      <w:r>
        <w:t xml:space="preserve">es una decisión o dato faltante sobre algo que ya está en el repositorio. Una</w:t>
      </w:r>
      <w:r>
        <w:t xml:space="preserve"> </w:t>
      </w:r>
      <w:r>
        <w:rPr>
          <w:bCs/>
          <w:b/>
        </w:rPr>
        <w:t xml:space="preserve">brecha</w:t>
      </w:r>
      <w:r>
        <w:t xml:space="preserve"> </w:t>
      </w:r>
      <w:r>
        <w:t xml:space="preserve">es un original que no está.</w:t>
      </w:r>
    </w:p>
    <w:p>
      <w:pPr>
        <w:pStyle w:val="BodyText"/>
      </w:pPr>
      <w:r>
        <w:rPr>
          <w:bCs/>
          <w:b/>
        </w:rPr>
        <w:t xml:space="preserve">Priorización: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Alta:</w:t>
      </w:r>
      <w:r>
        <w:t xml:space="preserve"> </w:t>
      </w:r>
      <w:r>
        <w:t xml:space="preserve">afecta variables publicadas o la tabla maestra.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Media:</w:t>
      </w:r>
      <w:r>
        <w:t xml:space="preserve"> </w:t>
      </w:r>
      <w:r>
        <w:t xml:space="preserve">afecta metadatos o la calidad del registro.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Baja:</w:t>
      </w:r>
      <w:r>
        <w:t xml:space="preserve"> </w:t>
      </w:r>
      <w:r>
        <w:t xml:space="preserve">informativo.</w:t>
      </w:r>
    </w:p>
    <w:p>
      <w:pPr>
        <w:pStyle w:val="FirstParagraph"/>
      </w:pPr>
      <w:r>
        <w:rPr>
          <w:bCs/>
          <w:b/>
        </w:rPr>
        <w:t xml:space="preserve">Salidas posibles para una brecha: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Recuperar el original.</w:t>
      </w:r>
      <w:r>
        <w:t xml:space="preserve"> </w:t>
      </w:r>
      <w:r>
        <w:t xml:space="preserve">Se obtiene de la entidad o del equipo, pasa el ciclo de ingreso y la brecha se cierra. Si el corte no coincide con el que se usó antes, se declara en la nota de versión.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Aceptar un B.</w:t>
      </w:r>
      <w:r>
        <w:t xml:space="preserve"> </w:t>
      </w:r>
      <w:r>
        <w:t xml:space="preserve">Si solo existe una captura o compilación, entra como B con su nota. La brecha queda como parcial.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Descartar.</w:t>
      </w:r>
      <w:r>
        <w:t xml:space="preserve"> </w:t>
      </w:r>
      <w:r>
        <w:t xml:space="preserve">La variable deja de sostenerse con datos del repositorio. Se registra el motivo y las variables quedan marcadas como no disponibles.</w:t>
      </w:r>
    </w:p>
    <w:p>
      <w:pPr>
        <w:pStyle w:val="FirstParagraph"/>
      </w:pPr>
      <w:r>
        <w:rPr>
          <w:bCs/>
          <w:b/>
        </w:rPr>
        <w:t xml:space="preserve">Cierre:</w:t>
      </w:r>
      <w:r>
        <w:t xml:space="preserve"> </w:t>
      </w:r>
      <w:r>
        <w:t xml:space="preserve">exige evidencia (archivo ingresado, MD5 y entrada de bitácora) y la aprobación de una persona. Un agente puede proponer el cierre, pero no ejecutarlo.</w:t>
      </w:r>
    </w:p>
    <w:p>
      <w:pPr>
        <w:pStyle w:val="BodyText"/>
      </w:pPr>
      <w:r>
        <w:rPr>
          <w:bCs/>
          <w:b/>
        </w:rPr>
        <w:t xml:space="preserve">Brechas abiertas al inicio: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fill="DDEBF7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fill="DDEBF7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Tema</w:t>
            </w:r>
          </w:p>
        </w:tc>
        <w:tc>
          <w:tcPr>
            <w:shd w:val="clear" w:fill="DDEBF7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Inventario pecuario municipal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Evaluaciones agropecuarias (cultivos)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Explotación de oro de aluvión (EVOA)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Índice de Ciudades Modernas (ICM)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Red vial primaria, secundaria y terciaria (shapefiles)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Tablero de seguridad, salud y vivienda: fuente de cada uno de sus 33 indicadores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Tabla maestra territorial (sección 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Hechos victimizantes (RUV)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Índice de Desempeño Fiscal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 de actualización catastral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Presupuesto de inversión (API Mapa de Inversiones, sin archivo)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Índice de Competitividad IMCA 2022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Suicidio e intento 2021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Capa RUNAP de áreas protegidas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Marco Geoestadístico nacional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Baja</w:t>
            </w:r>
          </w:p>
        </w:tc>
      </w:tr>
    </w:tbl>
    <w:bookmarkEnd w:id="33"/>
    <w:bookmarkStart w:id="34" w:name="X25f3caa4138409798fbffcc984d4fe604236eb8"/>
    <w:p>
      <w:pPr>
        <w:pStyle w:val="Heading2"/>
      </w:pPr>
      <w:r>
        <w:t xml:space="preserve">15. Protocolo para agregar datos nuevos</w:t>
      </w:r>
    </w:p>
    <w:p>
      <w:pPr>
        <w:pStyle w:val="FirstParagraph"/>
      </w:pPr>
      <w:r>
        <w:t xml:space="preserve">Además del ciclo común: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Antes de obtener el archivo,</w:t>
      </w:r>
      <w:r>
        <w:t xml:space="preserve"> </w:t>
      </w:r>
      <w:r>
        <w:t xml:space="preserve">comprobar en el registro que no exista ya el mismo producto. Si existe, es una actualización (sección 16), no un ingreso nuevo.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Preferir la fuente primaria.</w:t>
      </w:r>
      <w:r>
        <w:t xml:space="preserve"> </w:t>
      </w:r>
      <w:r>
        <w:t xml:space="preserve">Si hay descarga oficial, no se acepta una compilación.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Pedir el producto completo</w:t>
      </w:r>
      <w:r>
        <w:t xml:space="preserve"> </w:t>
      </w:r>
      <w:r>
        <w:t xml:space="preserve">que publica la entidad, no un filtro a Antioquia ni a un grupo de municipios. Si la entidad solo entrega el filtro, se registra como cobertura parcial.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Documentar las variables</w:t>
      </w:r>
      <w:r>
        <w:t xml:space="preserve"> </w:t>
      </w:r>
      <w:r>
        <w:t xml:space="preserve">que motivaron el ingreso, con hoja y campo en el original.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Entidad nueva:</w:t>
      </w:r>
      <w:r>
        <w:t xml:space="preserve"> </w:t>
      </w:r>
      <w:r>
        <w:t xml:space="preserve">se crea su carpeta. Si la entidad no está verificada, el archivo va a</w:t>
      </w:r>
      <w:r>
        <w:t xml:space="preserve"> </w:t>
      </w:r>
      <w:r>
        <w:rPr>
          <w:rStyle w:val="VerbatimChar"/>
        </w:rPr>
        <w:t xml:space="preserve">_Entidad_por_confirmar/</w:t>
      </w:r>
      <w:r>
        <w:t xml:space="preserve"> </w:t>
      </w:r>
      <w:r>
        <w:t xml:space="preserve">y se abre un pendiente.</w:t>
      </w:r>
    </w:p>
    <w:bookmarkEnd w:id="34"/>
    <w:bookmarkStart w:id="35" w:name="X3c84f240be372679a386ca7d48592e3dfa562b6"/>
    <w:p>
      <w:pPr>
        <w:pStyle w:val="Heading2"/>
      </w:pPr>
      <w:r>
        <w:t xml:space="preserve">16. Protocolo para actualizar datos existentes</w:t>
      </w:r>
    </w:p>
    <w:p>
      <w:pPr>
        <w:pStyle w:val="FirstParagraph"/>
      </w:pPr>
      <w:r>
        <w:t xml:space="preserve">Una actualización es un nuevo corte o una revisión de un producto que ya está en el repositorio.</w:t>
      </w:r>
    </w:p>
    <w:p>
      <w:pPr>
        <w:pStyle w:val="BodyText"/>
      </w:pPr>
      <w:r>
        <w:rPr>
          <w:bCs/>
          <w:b/>
        </w:rPr>
        <w:t xml:space="preserve">Pasos, además del ciclo común:</w:t>
      </w:r>
    </w:p>
    <w:p>
      <w:pPr>
        <w:numPr>
          <w:ilvl w:val="0"/>
          <w:numId w:val="1021"/>
        </w:numPr>
        <w:pStyle w:val="Compact"/>
      </w:pPr>
      <w:r>
        <w:t xml:space="preserve">Confirmar que es el mismo producto: misma entidad, misma estructura o equivalente, periodo nuevo o datos revisados.</w:t>
      </w:r>
    </w:p>
    <w:p>
      <w:pPr>
        <w:numPr>
          <w:ilvl w:val="0"/>
          <w:numId w:val="1021"/>
        </w:numPr>
        <w:pStyle w:val="Compact"/>
      </w:pPr>
      <w:r>
        <w:t xml:space="preserve">Comparar con la versión anterior y registrar qué cambió: periodos agregados, cambios de estructura, valores revisados.</w:t>
      </w:r>
    </w:p>
    <w:p>
      <w:pPr>
        <w:numPr>
          <w:ilvl w:val="0"/>
          <w:numId w:val="1021"/>
        </w:numPr>
        <w:pStyle w:val="Compact"/>
      </w:pPr>
      <w:r>
        <w:t xml:space="preserve">Declarar la versión vigente en el registro.</w:t>
      </w:r>
    </w:p>
    <w:p>
      <w:pPr>
        <w:numPr>
          <w:ilvl w:val="0"/>
          <w:numId w:val="1021"/>
        </w:numPr>
        <w:pStyle w:val="Compact"/>
      </w:pPr>
      <w:r>
        <w:t xml:space="preserve">Revisar las variables ancladas al archivo anterior y actualizar su hoja y campo si la estructura cambió.</w:t>
      </w:r>
    </w:p>
    <w:p>
      <w:pPr>
        <w:numPr>
          <w:ilvl w:val="0"/>
          <w:numId w:val="1021"/>
        </w:numPr>
        <w:pStyle w:val="Compact"/>
      </w:pPr>
      <w:r>
        <w:t xml:space="preserve">Anotar en la bitácora que el corte cambió.</w:t>
      </w:r>
      <w:r>
        <w:t xml:space="preserve"> </w:t>
      </w:r>
      <w:r>
        <w:rPr>
          <w:bCs/>
          <w:b/>
        </w:rPr>
        <w:t xml:space="preserve">Actualizar es cambiar de corte</w:t>
      </w:r>
      <w:r>
        <w:t xml:space="preserve">, y los usuarios de las cifras deben poder saberlo.</w:t>
      </w:r>
    </w:p>
    <w:p>
      <w:pPr>
        <w:pStyle w:val="FirstParagraph"/>
      </w:pPr>
      <w:r>
        <w:rPr>
          <w:bCs/>
          <w:b/>
        </w:rPr>
        <w:t xml:space="preserve">Política de conservación: decisión por tomar.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Conservar</w:t>
      </w:r>
      <w:r>
        <w:t xml:space="preserve"> </w:t>
      </w:r>
      <w:r>
        <w:t xml:space="preserve">el archivo anterior, marcado como no vigente: el corte que sustentó cifras ya publicadas sigue disponible y verificable, pero el repositorio crece.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Reemplazar</w:t>
      </w:r>
      <w:r>
        <w:t xml:space="preserve"> </w:t>
      </w:r>
      <w:r>
        <w:t xml:space="preserve">el archivo y dejar el historial en el control de versiones: el repositorio queda más limpio, pero los archivos binarios y pesados se recuperan con dificultad.</w:t>
      </w:r>
    </w:p>
    <w:p>
      <w:pPr>
        <w:pStyle w:val="FirstParagraph"/>
      </w:pPr>
      <w:r>
        <w:t xml:space="preserve">Mientras no se decida,</w:t>
      </w:r>
      <w:r>
        <w:t xml:space="preserve"> </w:t>
      </w:r>
      <w:r>
        <w:rPr>
          <w:bCs/>
          <w:b/>
        </w:rPr>
        <w:t xml:space="preserve">no se borra ni se sobrescribe ningún archivo</w:t>
      </w:r>
      <w:r>
        <w:t xml:space="preserve">: el nuevo corte entra junto al anterior. Ya hay precedentes de convivencia de versiones:</w:t>
      </w:r>
    </w:p>
    <w:p>
      <w:pPr>
        <w:numPr>
          <w:ilvl w:val="0"/>
          <w:numId w:val="1023"/>
        </w:numPr>
        <w:pStyle w:val="Compact"/>
      </w:pPr>
      <w:r>
        <w:t xml:space="preserve">eventos de salud pública;</w:t>
      </w:r>
    </w:p>
    <w:p>
      <w:pPr>
        <w:numPr>
          <w:ilvl w:val="0"/>
          <w:numId w:val="1023"/>
        </w:numPr>
        <w:pStyle w:val="Compact"/>
      </w:pPr>
      <w:r>
        <w:t xml:space="preserve">valor agregado municipal;</w:t>
      </w:r>
    </w:p>
    <w:p>
      <w:pPr>
        <w:numPr>
          <w:ilvl w:val="0"/>
          <w:numId w:val="1023"/>
        </w:numPr>
        <w:pStyle w:val="Compact"/>
      </w:pPr>
      <w:r>
        <w:t xml:space="preserve">IRCA;</w:t>
      </w:r>
    </w:p>
    <w:p>
      <w:pPr>
        <w:numPr>
          <w:ilvl w:val="0"/>
          <w:numId w:val="1023"/>
        </w:numPr>
        <w:pStyle w:val="Compact"/>
      </w:pPr>
      <w:r>
        <w:t xml:space="preserve">mortalidad infantil.</w:t>
      </w:r>
    </w:p>
    <w:bookmarkEnd w:id="35"/>
    <w:bookmarkStart w:id="36" w:name="Xc87bdaef59190fb709fa66b8a40d9178ade4a4a"/>
    <w:p>
      <w:pPr>
        <w:pStyle w:val="Heading2"/>
      </w:pPr>
      <w:r>
        <w:t xml:space="preserve">17. Estado actual y limitaciones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Tres originales pesados</w:t>
      </w:r>
      <w:r>
        <w:t xml:space="preserve"> </w:t>
      </w:r>
      <w:r>
        <w:t xml:space="preserve">están registrados, pero no copiados (sección 10).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La tabla maestra territorial está por construir</w:t>
      </w:r>
      <w:r>
        <w:t xml:space="preserve"> </w:t>
      </w:r>
      <w:r>
        <w:t xml:space="preserve">(sección 8).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Hay 15 brechas abiertas</w:t>
      </w:r>
      <w:r>
        <w:t xml:space="preserve">, siete de prioridad alta (sección 14).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Registro de variables:</w:t>
      </w:r>
    </w:p>
    <w:p>
      <w:pPr>
        <w:numPr>
          <w:ilvl w:val="1"/>
          <w:numId w:val="1025"/>
        </w:numPr>
        <w:pStyle w:val="Compact"/>
      </w:pPr>
      <w:r>
        <w:t xml:space="preserve">335 variables heredadas del proyecto anterior.</w:t>
      </w:r>
    </w:p>
    <w:p>
      <w:pPr>
        <w:numPr>
          <w:ilvl w:val="1"/>
          <w:numId w:val="1025"/>
        </w:numPr>
        <w:pStyle w:val="Compact"/>
      </w:pPr>
      <w:r>
        <w:t xml:space="preserve">En 24 están identificados la hoja y el campo en el original.</w:t>
      </w:r>
    </w:p>
    <w:p>
      <w:pPr>
        <w:numPr>
          <w:ilvl w:val="1"/>
          <w:numId w:val="1025"/>
        </w:numPr>
        <w:pStyle w:val="Compact"/>
      </w:pPr>
      <w:r>
        <w:t xml:space="preserve">En 229 el campo está por confirmar.</w:t>
      </w:r>
    </w:p>
    <w:p>
      <w:pPr>
        <w:numPr>
          <w:ilvl w:val="1"/>
          <w:numId w:val="1025"/>
        </w:numPr>
        <w:pStyle w:val="Compact"/>
      </w:pPr>
      <w:r>
        <w:t xml:space="preserve">79 dependen de brechas: 48 sin original y 31 con un original parcial.</w:t>
      </w:r>
    </w:p>
    <w:p>
      <w:pPr>
        <w:numPr>
          <w:ilvl w:val="1"/>
          <w:numId w:val="1025"/>
        </w:numPr>
        <w:pStyle w:val="Compact"/>
      </w:pPr>
      <w:r>
        <w:t xml:space="preserve">3 no tienen fuente.</w:t>
      </w:r>
    </w:p>
    <w:p>
      <w:pPr>
        <w:numPr>
          <w:ilvl w:val="1"/>
          <w:numId w:val="1025"/>
        </w:numPr>
        <w:pStyle w:val="Compact"/>
      </w:pPr>
      <w:r>
        <w:t xml:space="preserve">5 filas no tienen identificador.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Procedencia sin investigar:</w:t>
      </w:r>
      <w:r>
        <w:t xml:space="preserve"> </w:t>
      </w:r>
      <w:r>
        <w:t xml:space="preserve">los 172 archivos están en nivel "por confirmar". Su entidad se asignó por nombre y contenido durante la migración, sin contraste con las publicaciones oficiales.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Metadatos incompletos:</w:t>
      </w:r>
    </w:p>
    <w:p>
      <w:pPr>
        <w:numPr>
          <w:ilvl w:val="1"/>
          <w:numId w:val="1026"/>
        </w:numPr>
        <w:pStyle w:val="Compact"/>
      </w:pPr>
      <w:r>
        <w:t xml:space="preserve">la URL y la fecha de corte no están registradas para la mayoría de los archivos;</w:t>
      </w:r>
    </w:p>
    <w:p>
      <w:pPr>
        <w:numPr>
          <w:ilvl w:val="1"/>
          <w:numId w:val="1026"/>
        </w:numPr>
        <w:pStyle w:val="Compact"/>
      </w:pPr>
      <w:r>
        <w:t xml:space="preserve">5 entidades están por confirmar;</w:t>
      </w:r>
    </w:p>
    <w:p>
      <w:pPr>
        <w:numPr>
          <w:ilvl w:val="1"/>
          <w:numId w:val="1026"/>
        </w:numPr>
        <w:pStyle w:val="Compact"/>
      </w:pPr>
      <w:r>
        <w:t xml:space="preserve">163 filas no tienen responsable.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Versiones por confirmar:</w:t>
      </w:r>
      <w:r>
        <w:t xml:space="preserve"> </w:t>
      </w:r>
      <w:r>
        <w:t xml:space="preserve">el IRCA de Antioquia frente al histórico nacional, y dos ediciones de mortalidad infantil con las mismas hojas y valores distintos.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Un original no se puede leer:</w:t>
      </w:r>
      <w:r>
        <w:t xml:space="preserve"> </w:t>
      </w:r>
      <w:r>
        <w:t xml:space="preserve">defunciones no fetales 2022 está protegido con contraseña.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Vocabulario sin unificar:</w:t>
      </w:r>
    </w:p>
    <w:p>
      <w:pPr>
        <w:numPr>
          <w:ilvl w:val="1"/>
          <w:numId w:val="1027"/>
        </w:numPr>
        <w:pStyle w:val="Compact"/>
      </w:pPr>
      <w:r>
        <w:t xml:space="preserve">unidades con criterios distintos: porcentaje, fracción 0-1 y escala 0-100;</w:t>
      </w:r>
    </w:p>
    <w:p>
      <w:pPr>
        <w:numPr>
          <w:ilvl w:val="1"/>
          <w:numId w:val="1027"/>
        </w:numPr>
        <w:pStyle w:val="Compact"/>
      </w:pPr>
      <w:r>
        <w:t xml:space="preserve">tipos de medida que se solapan: total, cantidad, conteo, numérico.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Validación externa:</w:t>
      </w:r>
      <w:r>
        <w:t xml:space="preserve"> </w:t>
      </w:r>
      <w:r>
        <w:t xml:space="preserve">la única contrastada es la del proyecto anterior, que comparó una sola provincia contra su informe publicado. Los originales se verificaron por integridad y contenido, no contra las entidades.</w:t>
      </w:r>
    </w:p>
    <w:bookmarkEnd w:id="36"/>
    <w:bookmarkStart w:id="37" w:name="X272f8d5db8c3e6b046deceb2128a2d39033bf45"/>
    <w:p>
      <w:pPr>
        <w:pStyle w:val="Heading2"/>
      </w:pPr>
      <w:r>
        <w:t xml:space="preserve">18. Control del documento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fill="DDEBF7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shd w:val="clear" w:fill="DDEBF7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shd w:val="clear" w:fill="DDEBF7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Cambio</w:t>
            </w:r>
          </w:p>
        </w:tc>
        <w:tc>
          <w:tcPr>
            <w:shd w:val="clear" w:fill="DDEBF7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Aprobó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2026-09-16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Borrador inicial tras la migración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2026-09-17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Estructura 00_Documentacion/01_Datos; manifiesto de integridad propio del repositorio; protocolo de investigación de procedencia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</w:tbl>
    <w:p>
      <w:pPr>
        <w:pStyle w:val="BodyText"/>
      </w:pPr>
      <w:r>
        <w:t xml:space="preserve">Este anexo se actualiza en tres casos:</w:t>
      </w:r>
    </w:p>
    <w:p>
      <w:pPr>
        <w:numPr>
          <w:ilvl w:val="0"/>
          <w:numId w:val="1028"/>
        </w:numPr>
        <w:pStyle w:val="Compact"/>
      </w:pPr>
      <w:r>
        <w:t xml:space="preserve">cuando cambia una regla;</w:t>
      </w:r>
    </w:p>
    <w:p>
      <w:pPr>
        <w:numPr>
          <w:ilvl w:val="0"/>
          <w:numId w:val="1028"/>
        </w:numPr>
        <w:pStyle w:val="Compact"/>
      </w:pPr>
      <w:r>
        <w:t xml:space="preserve">cuando se cierra una brecha de prioridad alta o cambia el nivel de procedencia de un grupo de archivos;</w:t>
      </w:r>
    </w:p>
    <w:p>
      <w:pPr>
        <w:numPr>
          <w:ilvl w:val="0"/>
          <w:numId w:val="1028"/>
        </w:numPr>
        <w:pStyle w:val="Compact"/>
      </w:pPr>
      <w:r>
        <w:t xml:space="preserve">cuando se toma una de las decisiones marcadas como "decisión por tomar".</w:t>
      </w:r>
    </w:p>
    <w:p>
      <w:pPr>
        <w:pStyle w:val="FirstParagraph"/>
      </w:pPr>
      <w:r>
        <w:t xml:space="preserve">Las cifras de las secciones 3, 5, 14 y 17 deben coincidir con el registro de fuentes y variables. Si no coinciden, manda el registro.</w:t>
      </w:r>
    </w:p>
    <w:bookmarkEnd w:id="37"/>
    <w:bookmarkEnd w:id="38"/>
    <w:sectPr>
      <w:pgMar w:left="1247" w:right="1247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sz w:val="17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2026-09-17T05:07:01Z</dcterms:created>
  <dcterms:modified xsi:type="dcterms:W3CDTF">2026-09-17T05:07:01Z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