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20ED3AA5"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723620">
        <w:rPr>
          <w:color w:val="000000" w:themeColor="text1"/>
          <w:sz w:val="44"/>
          <w:szCs w:val="44"/>
        </w:rPr>
        <w:t>Anorí</w:t>
      </w:r>
      <w:r w:rsidRPr="00707E60">
        <w:rPr>
          <w:color w:val="000000" w:themeColor="text1"/>
          <w:sz w:val="44"/>
          <w:szCs w:val="44"/>
        </w:rPr>
        <w:t xml:space="preserve"> </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6CDF6595" w14:textId="77777777" w:rsidR="00723620" w:rsidRPr="00723620" w:rsidRDefault="00723620" w:rsidP="00723620">
      <w:pPr>
        <w:spacing w:line="360" w:lineRule="auto"/>
        <w:jc w:val="both"/>
        <w:rPr>
          <w:rFonts w:ascii="Aptos" w:hAnsi="Aptos" w:cs="Times New Roman"/>
        </w:rPr>
      </w:pPr>
      <w:r w:rsidRPr="00723620">
        <w:rPr>
          <w:rFonts w:ascii="Aptos" w:hAnsi="Aptos" w:cs="Times New Roman"/>
        </w:rPr>
        <w:lastRenderedPageBreak/>
        <w:t>Estado actual de su normatividad tributaria: Acuerdo 23 de 2021.</w:t>
      </w:r>
    </w:p>
    <w:p w14:paraId="5148EB55" w14:textId="77777777" w:rsidR="00723620" w:rsidRPr="00723620" w:rsidRDefault="00723620" w:rsidP="00723620">
      <w:pPr>
        <w:spacing w:line="360" w:lineRule="auto"/>
        <w:jc w:val="both"/>
        <w:rPr>
          <w:rFonts w:ascii="Aptos" w:hAnsi="Aptos" w:cs="Times New Roman"/>
          <w:b/>
          <w:bCs/>
          <w:sz w:val="32"/>
          <w:szCs w:val="32"/>
        </w:rPr>
      </w:pPr>
      <w:r w:rsidRPr="00723620">
        <w:rPr>
          <w:rFonts w:ascii="Aptos" w:hAnsi="Aptos" w:cs="Times New Roman"/>
          <w:b/>
          <w:bCs/>
          <w:sz w:val="32"/>
          <w:szCs w:val="32"/>
        </w:rPr>
        <w:t>Hallazgos</w:t>
      </w:r>
    </w:p>
    <w:p w14:paraId="7578EC6D" w14:textId="77777777" w:rsidR="00723620" w:rsidRPr="00723620" w:rsidRDefault="00723620" w:rsidP="00723620">
      <w:pPr>
        <w:pStyle w:val="ListParagraph"/>
        <w:widowControl w:val="0"/>
        <w:numPr>
          <w:ilvl w:val="0"/>
          <w:numId w:val="6"/>
        </w:numPr>
        <w:spacing w:after="0" w:line="360" w:lineRule="auto"/>
        <w:contextualSpacing w:val="0"/>
        <w:jc w:val="both"/>
        <w:rPr>
          <w:rFonts w:ascii="Aptos" w:hAnsi="Aptos" w:cs="Times New Roman"/>
        </w:rPr>
      </w:pPr>
      <w:r w:rsidRPr="00723620">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3B12F58D" w14:textId="77777777" w:rsidR="00723620" w:rsidRPr="00723620" w:rsidRDefault="00723620" w:rsidP="00723620">
      <w:pPr>
        <w:pStyle w:val="ListParagraph"/>
        <w:widowControl w:val="0"/>
        <w:numPr>
          <w:ilvl w:val="0"/>
          <w:numId w:val="6"/>
        </w:numPr>
        <w:spacing w:after="0" w:line="360" w:lineRule="auto"/>
        <w:contextualSpacing w:val="0"/>
        <w:jc w:val="both"/>
        <w:rPr>
          <w:rFonts w:ascii="Aptos" w:hAnsi="Aptos" w:cs="Times New Roman"/>
        </w:rPr>
      </w:pPr>
      <w:r w:rsidRPr="00723620">
        <w:rPr>
          <w:rFonts w:ascii="Aptos" w:hAnsi="Aptos" w:cs="Times New Roman"/>
        </w:rPr>
        <w:t>Desactualización normativa: las definiciones y clasificaciones catastrales se basan en la Resolución 070 de 2011, hoy derogada.</w:t>
      </w:r>
    </w:p>
    <w:p w14:paraId="616307E6" w14:textId="77777777" w:rsidR="00723620" w:rsidRPr="00723620" w:rsidRDefault="00723620" w:rsidP="00723620">
      <w:pPr>
        <w:pStyle w:val="ListParagraph"/>
        <w:widowControl w:val="0"/>
        <w:numPr>
          <w:ilvl w:val="0"/>
          <w:numId w:val="6"/>
        </w:numPr>
        <w:spacing w:after="0" w:line="360" w:lineRule="auto"/>
        <w:contextualSpacing w:val="0"/>
        <w:jc w:val="both"/>
        <w:rPr>
          <w:rFonts w:ascii="Aptos" w:hAnsi="Aptos" w:cs="Times New Roman"/>
        </w:rPr>
      </w:pPr>
      <w:r w:rsidRPr="00723620">
        <w:rPr>
          <w:rFonts w:ascii="Aptos" w:hAnsi="Aptos" w:cs="Times New Roman"/>
        </w:rPr>
        <w:t>Matriz tarifaria: uso de una matriz especial que no se ajusta a la clasificación de destinos económicos del catastro departamental y no diferencia tarifas por rangos de avalúo, evidenciando desconexión con los estándares técnicos vigentes.</w:t>
      </w:r>
    </w:p>
    <w:p w14:paraId="2F32EF0D" w14:textId="77777777" w:rsidR="00723620" w:rsidRPr="00723620" w:rsidRDefault="00723620" w:rsidP="00723620">
      <w:pPr>
        <w:pStyle w:val="ListParagraph"/>
        <w:widowControl w:val="0"/>
        <w:numPr>
          <w:ilvl w:val="0"/>
          <w:numId w:val="6"/>
        </w:numPr>
        <w:spacing w:after="0" w:line="360" w:lineRule="auto"/>
        <w:contextualSpacing w:val="0"/>
        <w:jc w:val="both"/>
        <w:rPr>
          <w:rFonts w:ascii="Aptos" w:hAnsi="Aptos" w:cs="Times New Roman"/>
        </w:rPr>
      </w:pPr>
      <w:r w:rsidRPr="00723620">
        <w:rPr>
          <w:rFonts w:ascii="Aptos" w:hAnsi="Aptos" w:cs="Times New Roman"/>
        </w:rPr>
        <w:t>Beneficios por conservación: ausencia de definición precisa del área declarada para acceder a la exención, con posible impacto fiscal negativo.</w:t>
      </w:r>
    </w:p>
    <w:p w14:paraId="5009A029" w14:textId="77777777" w:rsidR="00723620" w:rsidRPr="00723620" w:rsidRDefault="00723620" w:rsidP="00723620">
      <w:pPr>
        <w:pStyle w:val="ListParagraph"/>
        <w:widowControl w:val="0"/>
        <w:numPr>
          <w:ilvl w:val="0"/>
          <w:numId w:val="6"/>
        </w:numPr>
        <w:spacing w:after="0" w:line="360" w:lineRule="auto"/>
        <w:contextualSpacing w:val="0"/>
        <w:jc w:val="both"/>
        <w:rPr>
          <w:rFonts w:ascii="Aptos" w:hAnsi="Aptos" w:cs="Times New Roman"/>
        </w:rPr>
      </w:pPr>
      <w:r w:rsidRPr="00723620">
        <w:rPr>
          <w:rFonts w:ascii="Aptos" w:hAnsi="Aptos" w:cs="Times New Roman"/>
        </w:rPr>
        <w:t>Ausencia de sobretasa bomberil sobre IPU o avalúo; el cobro solo se aplica sobre el Impuesto de Industria y Comercio (ICA).</w:t>
      </w:r>
    </w:p>
    <w:p w14:paraId="1C5227F4" w14:textId="77777777" w:rsidR="00723620" w:rsidRPr="00723620" w:rsidRDefault="00723620" w:rsidP="00723620">
      <w:pPr>
        <w:pStyle w:val="ListParagraph"/>
        <w:widowControl w:val="0"/>
        <w:numPr>
          <w:ilvl w:val="0"/>
          <w:numId w:val="6"/>
        </w:numPr>
        <w:spacing w:after="0" w:line="360" w:lineRule="auto"/>
        <w:contextualSpacing w:val="0"/>
        <w:jc w:val="both"/>
        <w:rPr>
          <w:rFonts w:ascii="Aptos" w:hAnsi="Aptos" w:cs="Times New Roman"/>
        </w:rPr>
      </w:pPr>
      <w:r w:rsidRPr="00723620">
        <w:rPr>
          <w:rFonts w:ascii="Aptos" w:hAnsi="Aptos" w:cs="Times New Roman"/>
        </w:rPr>
        <w:t>Determina la calificación de Pequeña propiedad rural: Prevista para predios ≤ 10 hectáreas.</w:t>
      </w:r>
    </w:p>
    <w:p w14:paraId="16D37411" w14:textId="77777777" w:rsidR="00723620" w:rsidRPr="00723620" w:rsidRDefault="00723620" w:rsidP="00723620">
      <w:pPr>
        <w:pStyle w:val="ListParagraph"/>
        <w:widowControl w:val="0"/>
        <w:numPr>
          <w:ilvl w:val="0"/>
          <w:numId w:val="6"/>
        </w:numPr>
        <w:spacing w:after="0" w:line="360" w:lineRule="auto"/>
        <w:contextualSpacing w:val="0"/>
        <w:jc w:val="both"/>
        <w:rPr>
          <w:rFonts w:ascii="Aptos" w:hAnsi="Aptos" w:cs="Times New Roman"/>
        </w:rPr>
      </w:pPr>
      <w:r w:rsidRPr="00723620">
        <w:rPr>
          <w:rFonts w:ascii="Aptos" w:hAnsi="Aptos" w:cs="Times New Roman"/>
        </w:rPr>
        <w:t>Alumbrado público: 1‰ sobre el avalúo catastral para predios sin energía eléctrica.</w:t>
      </w:r>
    </w:p>
    <w:p w14:paraId="49185B09" w14:textId="77777777" w:rsidR="00723620" w:rsidRPr="00723620" w:rsidRDefault="00723620" w:rsidP="00723620">
      <w:pPr>
        <w:pStyle w:val="ListParagraph"/>
        <w:widowControl w:val="0"/>
        <w:numPr>
          <w:ilvl w:val="0"/>
          <w:numId w:val="6"/>
        </w:numPr>
        <w:spacing w:after="0" w:line="360" w:lineRule="auto"/>
        <w:contextualSpacing w:val="0"/>
        <w:jc w:val="both"/>
        <w:rPr>
          <w:rFonts w:ascii="Aptos" w:hAnsi="Aptos" w:cs="Times New Roman"/>
        </w:rPr>
      </w:pPr>
      <w:r w:rsidRPr="00723620">
        <w:rPr>
          <w:rFonts w:ascii="Aptos" w:hAnsi="Aptos" w:cs="Times New Roman"/>
        </w:rPr>
        <w:t>Tarifa general: mínima 5‰ y máxima 16‰ (en UVT), Autoevaluación del avalúo: prevista por la normativa municipal.</w:t>
      </w:r>
    </w:p>
    <w:p w14:paraId="46693E36" w14:textId="77777777" w:rsidR="00723620" w:rsidRPr="00723620" w:rsidRDefault="00723620" w:rsidP="00723620">
      <w:pPr>
        <w:pStyle w:val="ListParagraph"/>
        <w:widowControl w:val="0"/>
        <w:numPr>
          <w:ilvl w:val="0"/>
          <w:numId w:val="6"/>
        </w:numPr>
        <w:spacing w:after="0" w:line="360" w:lineRule="auto"/>
        <w:contextualSpacing w:val="0"/>
        <w:jc w:val="both"/>
        <w:rPr>
          <w:rFonts w:ascii="Aptos" w:hAnsi="Aptos" w:cs="Times New Roman"/>
        </w:rPr>
      </w:pPr>
      <w:r w:rsidRPr="00723620">
        <w:rPr>
          <w:rFonts w:ascii="Aptos" w:hAnsi="Aptos" w:cs="Times New Roman"/>
        </w:rPr>
        <w:t>Beneficios a víctimas de desplazamiento forzado.</w:t>
      </w:r>
    </w:p>
    <w:p w14:paraId="4E848491" w14:textId="77777777" w:rsidR="00723620" w:rsidRPr="00723620" w:rsidRDefault="00723620" w:rsidP="00723620">
      <w:pPr>
        <w:pStyle w:val="ListParagraph"/>
        <w:widowControl w:val="0"/>
        <w:numPr>
          <w:ilvl w:val="0"/>
          <w:numId w:val="6"/>
        </w:numPr>
        <w:spacing w:after="0" w:line="360" w:lineRule="auto"/>
        <w:contextualSpacing w:val="0"/>
        <w:jc w:val="both"/>
        <w:rPr>
          <w:rFonts w:ascii="Aptos" w:hAnsi="Aptos" w:cs="Times New Roman"/>
        </w:rPr>
      </w:pPr>
      <w:r w:rsidRPr="00723620">
        <w:rPr>
          <w:rFonts w:ascii="Aptos" w:hAnsi="Aptos" w:cs="Times New Roman"/>
        </w:rPr>
        <w:t>Están exentos del Impuesto Predial Unificado (IPU): (i) los inmuebles de las corporaciones autónomas destinados a conservación hídrica y a infraestructura asociada (embalses, colectores, tanques, PTAR); y (ii) las áreas de conservación de aguas, fauna y flora reglamentadas por el Concejo.</w:t>
      </w:r>
    </w:p>
    <w:p w14:paraId="4CDE9E8B" w14:textId="77777777" w:rsidR="00723620" w:rsidRDefault="00723620" w:rsidP="00723620">
      <w:pPr>
        <w:pStyle w:val="ListParagraph"/>
        <w:spacing w:line="360" w:lineRule="auto"/>
        <w:rPr>
          <w:rFonts w:ascii="Aptos" w:hAnsi="Aptos" w:cs="Times New Roman"/>
        </w:rPr>
      </w:pPr>
    </w:p>
    <w:p w14:paraId="179B9062" w14:textId="77777777" w:rsidR="00723620" w:rsidRDefault="00723620" w:rsidP="00723620">
      <w:pPr>
        <w:pStyle w:val="ListParagraph"/>
        <w:spacing w:line="360" w:lineRule="auto"/>
        <w:rPr>
          <w:rFonts w:ascii="Aptos" w:hAnsi="Aptos" w:cs="Times New Roman"/>
        </w:rPr>
      </w:pPr>
    </w:p>
    <w:p w14:paraId="597EBD09" w14:textId="77777777" w:rsidR="00723620" w:rsidRDefault="00723620" w:rsidP="00723620">
      <w:pPr>
        <w:pStyle w:val="ListParagraph"/>
        <w:spacing w:line="360" w:lineRule="auto"/>
        <w:rPr>
          <w:rFonts w:ascii="Aptos" w:hAnsi="Aptos" w:cs="Times New Roman"/>
        </w:rPr>
      </w:pPr>
    </w:p>
    <w:p w14:paraId="678B852A" w14:textId="77777777" w:rsidR="00723620" w:rsidRPr="00723620" w:rsidRDefault="00723620" w:rsidP="00723620">
      <w:pPr>
        <w:pStyle w:val="ListParagraph"/>
        <w:spacing w:line="360" w:lineRule="auto"/>
        <w:rPr>
          <w:rFonts w:ascii="Aptos" w:hAnsi="Aptos" w:cs="Times New Roman"/>
        </w:rPr>
      </w:pPr>
    </w:p>
    <w:p w14:paraId="13751B9B" w14:textId="77777777" w:rsidR="00723620" w:rsidRPr="00723620" w:rsidRDefault="00723620" w:rsidP="00723620">
      <w:pPr>
        <w:spacing w:line="360" w:lineRule="auto"/>
        <w:jc w:val="both"/>
        <w:rPr>
          <w:rFonts w:ascii="Aptos" w:hAnsi="Aptos" w:cs="Times New Roman"/>
          <w:b/>
          <w:bCs/>
          <w:sz w:val="32"/>
          <w:szCs w:val="32"/>
        </w:rPr>
      </w:pPr>
      <w:r w:rsidRPr="00723620">
        <w:rPr>
          <w:rFonts w:ascii="Aptos" w:hAnsi="Aptos" w:cs="Times New Roman"/>
          <w:b/>
          <w:bCs/>
          <w:sz w:val="32"/>
          <w:szCs w:val="32"/>
        </w:rPr>
        <w:lastRenderedPageBreak/>
        <w:t>Recomendaciones</w:t>
      </w:r>
    </w:p>
    <w:p w14:paraId="0EB0CC5F" w14:textId="77777777" w:rsidR="00723620" w:rsidRPr="00723620" w:rsidRDefault="00723620" w:rsidP="00723620">
      <w:pPr>
        <w:numPr>
          <w:ilvl w:val="0"/>
          <w:numId w:val="5"/>
        </w:numPr>
        <w:spacing w:line="360" w:lineRule="auto"/>
        <w:jc w:val="both"/>
        <w:rPr>
          <w:rFonts w:ascii="Aptos" w:hAnsi="Aptos" w:cs="Times New Roman"/>
        </w:rPr>
      </w:pPr>
      <w:r w:rsidRPr="00723620">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2F9D21CB" w14:textId="77777777" w:rsidR="00723620" w:rsidRPr="00723620" w:rsidRDefault="00723620" w:rsidP="00723620">
      <w:pPr>
        <w:numPr>
          <w:ilvl w:val="0"/>
          <w:numId w:val="5"/>
        </w:numPr>
        <w:spacing w:line="360" w:lineRule="auto"/>
        <w:jc w:val="both"/>
        <w:rPr>
          <w:rFonts w:ascii="Aptos" w:hAnsi="Aptos" w:cs="Times New Roman"/>
        </w:rPr>
      </w:pPr>
      <w:r w:rsidRPr="00723620">
        <w:rPr>
          <w:rFonts w:ascii="Aptos" w:hAnsi="Aptos" w:cs="Times New Roman"/>
        </w:rPr>
        <w:t>Actualizar la normativa que remite a la Resolución 070 de 2011 (derogada) y adoptar LADM-COL v4.1 y sus definiciones para la nueva matriz tarifaria, alineando la estructura con la clasificación departamental y con rangos de avalúo.</w:t>
      </w:r>
    </w:p>
    <w:p w14:paraId="3A2634F3" w14:textId="77777777" w:rsidR="00723620" w:rsidRPr="00723620" w:rsidRDefault="00723620" w:rsidP="00723620">
      <w:pPr>
        <w:numPr>
          <w:ilvl w:val="0"/>
          <w:numId w:val="5"/>
        </w:numPr>
        <w:spacing w:line="360" w:lineRule="auto"/>
        <w:jc w:val="both"/>
        <w:rPr>
          <w:rFonts w:ascii="Aptos" w:hAnsi="Aptos" w:cs="Times New Roman"/>
        </w:rPr>
      </w:pPr>
      <w:r w:rsidRPr="00723620">
        <w:rPr>
          <w:rFonts w:ascii="Aptos" w:hAnsi="Aptos" w:cs="Times New Roman"/>
        </w:rPr>
        <w:t>Precisar las áreas objeto de los beneficios por conservación (criterios, delimitación y verificación) para evitar impactos negativos en el recaudo y asegurar aplicación controlada y justa.</w:t>
      </w:r>
    </w:p>
    <w:p w14:paraId="66CA1DB3" w14:textId="77777777" w:rsidR="00723620" w:rsidRPr="00723620" w:rsidRDefault="00723620" w:rsidP="00723620">
      <w:pPr>
        <w:numPr>
          <w:ilvl w:val="0"/>
          <w:numId w:val="5"/>
        </w:numPr>
        <w:spacing w:line="360" w:lineRule="auto"/>
        <w:jc w:val="both"/>
        <w:rPr>
          <w:rFonts w:ascii="Aptos" w:hAnsi="Aptos" w:cs="Times New Roman"/>
        </w:rPr>
      </w:pPr>
      <w:r w:rsidRPr="00723620">
        <w:rPr>
          <w:rFonts w:ascii="Aptos" w:hAnsi="Aptos" w:cs="Times New Roman"/>
        </w:rPr>
        <w:t>Evaluar y considerar la implementación de la sobretasa bomberil sobre el IPU o el avalúo, como instrumento de financiamiento del servicio bomberil.</w:t>
      </w:r>
    </w:p>
    <w:p w14:paraId="72E24A8B" w14:textId="77777777" w:rsidR="00723620" w:rsidRPr="00723620" w:rsidRDefault="00723620" w:rsidP="00723620">
      <w:pPr>
        <w:numPr>
          <w:ilvl w:val="0"/>
          <w:numId w:val="5"/>
        </w:numPr>
        <w:spacing w:line="360" w:lineRule="auto"/>
        <w:jc w:val="both"/>
        <w:rPr>
          <w:rFonts w:ascii="Aptos" w:hAnsi="Aptos" w:cs="Times New Roman"/>
        </w:rPr>
      </w:pPr>
      <w:r w:rsidRPr="00723620">
        <w:rPr>
          <w:rFonts w:ascii="Aptos" w:hAnsi="Aptos" w:cs="Times New Roman"/>
        </w:rPr>
        <w:t>Fortalecer el procedimiento de acceso a beneficios tributarios a víctimas del desplazamiento forzado, que: (i) establezca requisitos habilitantes e idóneos para cada beneficio; (ii) defina la autoridad competente, el canal de solicitud, los términos de decisión, la vigencia, renovación y causales de pérdida; (iii) prevea verificación previa y control posterior.</w:t>
      </w:r>
    </w:p>
    <w:p w14:paraId="597059D7" w14:textId="77777777" w:rsidR="00707E60" w:rsidRDefault="00707E60"/>
    <w:p w14:paraId="412E737A" w14:textId="77777777" w:rsidR="00707E60" w:rsidRDefault="00707E60"/>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2F74D" w14:textId="77777777" w:rsidR="00C24423" w:rsidRDefault="00C24423" w:rsidP="00707E60">
      <w:pPr>
        <w:spacing w:after="0" w:line="240" w:lineRule="auto"/>
      </w:pPr>
      <w:r>
        <w:separator/>
      </w:r>
    </w:p>
  </w:endnote>
  <w:endnote w:type="continuationSeparator" w:id="0">
    <w:p w14:paraId="3F9D5D9A" w14:textId="77777777" w:rsidR="00C24423" w:rsidRDefault="00C24423"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614F6" w14:textId="77777777" w:rsidR="00C24423" w:rsidRDefault="00C24423" w:rsidP="00707E60">
      <w:pPr>
        <w:spacing w:after="0" w:line="240" w:lineRule="auto"/>
      </w:pPr>
      <w:r>
        <w:separator/>
      </w:r>
    </w:p>
  </w:footnote>
  <w:footnote w:type="continuationSeparator" w:id="0">
    <w:p w14:paraId="2D7F3D83" w14:textId="77777777" w:rsidR="00C24423" w:rsidRDefault="00C24423"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1C11A54F">
              <wp:simplePos x="0" y="0"/>
              <wp:positionH relativeFrom="column">
                <wp:posOffset>37238</wp:posOffset>
              </wp:positionH>
              <wp:positionV relativeFrom="paragraph">
                <wp:posOffset>-111760</wp:posOffset>
              </wp:positionV>
              <wp:extent cx="3256767"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256767"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250DC0A8"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Anorí</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2.95pt;margin-top:-8.8pt;width:256.4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250DC0A8"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Anorí</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4205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AC1018"/>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2"/>
  </w:num>
  <w:num w:numId="2" w16cid:durableId="1017347282">
    <w:abstractNumId w:val="4"/>
  </w:num>
  <w:num w:numId="3" w16cid:durableId="44450645">
    <w:abstractNumId w:val="5"/>
  </w:num>
  <w:num w:numId="4" w16cid:durableId="1953855267">
    <w:abstractNumId w:val="0"/>
  </w:num>
  <w:num w:numId="5" w16cid:durableId="279457733">
    <w:abstractNumId w:val="3"/>
  </w:num>
  <w:num w:numId="6" w16cid:durableId="8290554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120797"/>
    <w:rsid w:val="00134527"/>
    <w:rsid w:val="00211E44"/>
    <w:rsid w:val="0023618C"/>
    <w:rsid w:val="003650D0"/>
    <w:rsid w:val="003A7CEA"/>
    <w:rsid w:val="003E2241"/>
    <w:rsid w:val="004107CA"/>
    <w:rsid w:val="005422DF"/>
    <w:rsid w:val="005D08ED"/>
    <w:rsid w:val="005F7A75"/>
    <w:rsid w:val="00605B4C"/>
    <w:rsid w:val="00665846"/>
    <w:rsid w:val="006A249B"/>
    <w:rsid w:val="00707E60"/>
    <w:rsid w:val="00723620"/>
    <w:rsid w:val="00813F67"/>
    <w:rsid w:val="00844CC8"/>
    <w:rsid w:val="00845F02"/>
    <w:rsid w:val="00855468"/>
    <w:rsid w:val="009D1F9E"/>
    <w:rsid w:val="00A27409"/>
    <w:rsid w:val="00A55C9A"/>
    <w:rsid w:val="00A60686"/>
    <w:rsid w:val="00A96461"/>
    <w:rsid w:val="00AA7DD4"/>
    <w:rsid w:val="00BC7035"/>
    <w:rsid w:val="00C04706"/>
    <w:rsid w:val="00C24423"/>
    <w:rsid w:val="00C942B0"/>
    <w:rsid w:val="00D37EF2"/>
    <w:rsid w:val="00DB14E5"/>
    <w:rsid w:val="00DD0016"/>
    <w:rsid w:val="00E20840"/>
    <w:rsid w:val="00E608BE"/>
    <w:rsid w:val="00F27231"/>
    <w:rsid w:val="00F65205"/>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497</Words>
  <Characters>2838</Characters>
  <Application>Microsoft Office Word</Application>
  <DocSecurity>0</DocSecurity>
  <Lines>23</Lines>
  <Paragraphs>6</Paragraphs>
  <ScaleCrop>false</ScaleCrop>
  <Company/>
  <LinksUpToDate>false</LinksUpToDate>
  <CharactersWithSpaces>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5</cp:revision>
  <dcterms:created xsi:type="dcterms:W3CDTF">2025-10-23T17:12:00Z</dcterms:created>
  <dcterms:modified xsi:type="dcterms:W3CDTF">2025-10-24T17:39:00Z</dcterms:modified>
</cp:coreProperties>
</file>