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8240"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2BE0480"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A0423F">
        <w:rPr>
          <w:color w:val="000000" w:themeColor="text1"/>
          <w:sz w:val="44"/>
          <w:szCs w:val="44"/>
        </w:rPr>
        <w:t>Anzá</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915F5A1" w14:textId="77777777" w:rsidR="005414A6" w:rsidRPr="005414A6" w:rsidRDefault="005414A6" w:rsidP="005414A6">
      <w:pPr>
        <w:spacing w:line="360" w:lineRule="auto"/>
        <w:ind w:left="360"/>
        <w:rPr>
          <w:rFonts w:ascii="Aptos" w:hAnsi="Aptos" w:cs="Times New Roman"/>
        </w:rPr>
      </w:pPr>
      <w:r w:rsidRPr="005414A6">
        <w:rPr>
          <w:rFonts w:ascii="Aptos" w:hAnsi="Aptos" w:cs="Times New Roman"/>
        </w:rPr>
        <w:lastRenderedPageBreak/>
        <w:t>El estado actual de su normatividad tributaria se establece en el Acuerdo 015 de 2020.</w:t>
      </w:r>
    </w:p>
    <w:p w14:paraId="0A7D1A93" w14:textId="77777777" w:rsidR="005414A6" w:rsidRPr="005414A6" w:rsidRDefault="005414A6" w:rsidP="005414A6">
      <w:pPr>
        <w:spacing w:line="360" w:lineRule="auto"/>
        <w:jc w:val="both"/>
        <w:rPr>
          <w:rFonts w:ascii="Aptos" w:hAnsi="Aptos" w:cs="Times New Roman"/>
          <w:b/>
          <w:bCs/>
          <w:sz w:val="32"/>
          <w:szCs w:val="32"/>
        </w:rPr>
      </w:pPr>
      <w:r w:rsidRPr="005414A6">
        <w:rPr>
          <w:rFonts w:ascii="Aptos" w:hAnsi="Aptos" w:cs="Times New Roman"/>
          <w:b/>
          <w:bCs/>
          <w:sz w:val="32"/>
          <w:szCs w:val="32"/>
        </w:rPr>
        <w:t>Hallazgos</w:t>
      </w:r>
    </w:p>
    <w:p w14:paraId="7C714141" w14:textId="77777777" w:rsidR="005414A6" w:rsidRPr="005414A6" w:rsidRDefault="005414A6" w:rsidP="005414A6">
      <w:pPr>
        <w:numPr>
          <w:ilvl w:val="0"/>
          <w:numId w:val="21"/>
        </w:numPr>
        <w:spacing w:line="360" w:lineRule="auto"/>
        <w:jc w:val="both"/>
        <w:rPr>
          <w:rFonts w:ascii="Aptos" w:hAnsi="Aptos" w:cs="Times New Roman"/>
        </w:rPr>
      </w:pPr>
      <w:r w:rsidRPr="005414A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FE1623C" w14:textId="77777777" w:rsidR="005414A6" w:rsidRPr="005414A6" w:rsidRDefault="005414A6" w:rsidP="005414A6">
      <w:pPr>
        <w:numPr>
          <w:ilvl w:val="0"/>
          <w:numId w:val="21"/>
        </w:numPr>
        <w:spacing w:line="360" w:lineRule="auto"/>
        <w:jc w:val="both"/>
        <w:rPr>
          <w:rFonts w:ascii="Aptos" w:hAnsi="Aptos" w:cs="Times New Roman"/>
        </w:rPr>
      </w:pPr>
      <w:r w:rsidRPr="005414A6">
        <w:rPr>
          <w:rFonts w:ascii="Aptos" w:hAnsi="Aptos" w:cs="Times New Roman"/>
        </w:rPr>
        <w:t>Régimen catastral y definiciones con remisiones a normativa previa que requieren armonización con la regulación técnica vigente.</w:t>
      </w:r>
    </w:p>
    <w:p w14:paraId="248268CC" w14:textId="77777777" w:rsidR="005414A6" w:rsidRPr="005414A6" w:rsidRDefault="005414A6" w:rsidP="005414A6">
      <w:pPr>
        <w:numPr>
          <w:ilvl w:val="0"/>
          <w:numId w:val="21"/>
        </w:numPr>
        <w:spacing w:line="360" w:lineRule="auto"/>
        <w:jc w:val="both"/>
        <w:rPr>
          <w:rFonts w:ascii="Aptos" w:hAnsi="Aptos" w:cs="Times New Roman"/>
        </w:rPr>
      </w:pPr>
      <w:r w:rsidRPr="005414A6">
        <w:rPr>
          <w:rFonts w:ascii="Aptos" w:hAnsi="Aptos" w:cs="Times New Roman"/>
        </w:rPr>
        <w:t>Matriz tarifaria con doble regulación e inconsistencias internas: en la matriz general, los lotes urbanizables/no urbanizados y urbanizados/no edificados se fijan en 25×1000, mientras que en la tabla “especial” (unidades prediales y lotes) se asigna 15×1000 para esas mismas categorías; además, aparecen tarifas atípicas como “vías” 14×1000 y “unidad predial no construida” 4×1000, sin criterio técnico explícito ni prelación entre tablas. Esto facilita liquidaciones dispares y contradicciones normativas.</w:t>
      </w:r>
    </w:p>
    <w:p w14:paraId="39FB1B26" w14:textId="77777777" w:rsidR="005414A6" w:rsidRPr="005414A6" w:rsidRDefault="005414A6" w:rsidP="005414A6">
      <w:pPr>
        <w:numPr>
          <w:ilvl w:val="0"/>
          <w:numId w:val="21"/>
        </w:numPr>
        <w:spacing w:line="360" w:lineRule="auto"/>
        <w:jc w:val="both"/>
        <w:rPr>
          <w:rFonts w:ascii="Aptos" w:hAnsi="Aptos" w:cs="Times New Roman"/>
        </w:rPr>
      </w:pPr>
      <w:r w:rsidRPr="005414A6">
        <w:rPr>
          <w:rFonts w:ascii="Aptos" w:hAnsi="Aptos" w:cs="Times New Roman"/>
        </w:rPr>
        <w:t>Se define la pequeña propiedad rural (carácter, finalidad y restricción de uso), pero sin tratamiento tarifario específico ni regla diferencial operativa.</w:t>
      </w:r>
    </w:p>
    <w:p w14:paraId="714D4DC1" w14:textId="77777777" w:rsidR="005414A6" w:rsidRPr="005414A6" w:rsidRDefault="005414A6" w:rsidP="005414A6">
      <w:pPr>
        <w:numPr>
          <w:ilvl w:val="0"/>
          <w:numId w:val="21"/>
        </w:numPr>
        <w:spacing w:line="360" w:lineRule="auto"/>
        <w:jc w:val="both"/>
        <w:rPr>
          <w:rFonts w:ascii="Aptos" w:hAnsi="Aptos" w:cs="Times New Roman"/>
        </w:rPr>
      </w:pPr>
      <w:r w:rsidRPr="005414A6">
        <w:rPr>
          <w:rFonts w:ascii="Aptos" w:hAnsi="Aptos" w:cs="Times New Roman"/>
        </w:rPr>
        <w:t>EL municipio adopta una sobretasa ambiental correspondiente al “1,5 por mil sobre el total del recaudo del IPU” y faculta convenios para “revertir” el porcentaje.</w:t>
      </w:r>
    </w:p>
    <w:p w14:paraId="3DACD3DC" w14:textId="77777777" w:rsidR="005414A6" w:rsidRPr="005414A6" w:rsidRDefault="005414A6" w:rsidP="005414A6">
      <w:pPr>
        <w:numPr>
          <w:ilvl w:val="0"/>
          <w:numId w:val="21"/>
        </w:numPr>
        <w:spacing w:line="360" w:lineRule="auto"/>
        <w:jc w:val="both"/>
        <w:rPr>
          <w:rFonts w:ascii="Aptos" w:hAnsi="Aptos" w:cs="Times New Roman"/>
        </w:rPr>
      </w:pPr>
      <w:r w:rsidRPr="005414A6">
        <w:rPr>
          <w:rFonts w:ascii="Aptos" w:hAnsi="Aptos" w:cs="Times New Roman"/>
        </w:rPr>
        <w:t>Exclusión de parques naturales y parques públicos de entidades estatales; definición de predios de protección. Falta procedimiento uniforme para verificación de la destinación, cómputo proporcional del área, vigencia, pérdida del beneficio por cambio de uso y prelación frente a otros alivios.</w:t>
      </w:r>
    </w:p>
    <w:p w14:paraId="2A48643B" w14:textId="77777777" w:rsidR="005414A6" w:rsidRPr="005414A6" w:rsidRDefault="005414A6" w:rsidP="005414A6">
      <w:pPr>
        <w:spacing w:line="360" w:lineRule="auto"/>
        <w:jc w:val="both"/>
        <w:rPr>
          <w:rFonts w:ascii="Aptos" w:hAnsi="Aptos" w:cs="Times New Roman"/>
          <w:b/>
          <w:bCs/>
          <w:sz w:val="32"/>
          <w:szCs w:val="32"/>
        </w:rPr>
      </w:pPr>
      <w:r w:rsidRPr="005414A6">
        <w:rPr>
          <w:rFonts w:ascii="Aptos" w:hAnsi="Aptos" w:cs="Times New Roman"/>
          <w:b/>
          <w:bCs/>
          <w:sz w:val="32"/>
          <w:szCs w:val="32"/>
        </w:rPr>
        <w:t>Recomendaciones</w:t>
      </w:r>
    </w:p>
    <w:p w14:paraId="363A05F3" w14:textId="77777777" w:rsidR="005414A6" w:rsidRPr="005414A6" w:rsidRDefault="005414A6" w:rsidP="005414A6">
      <w:pPr>
        <w:numPr>
          <w:ilvl w:val="0"/>
          <w:numId w:val="22"/>
        </w:numPr>
        <w:spacing w:line="360" w:lineRule="auto"/>
        <w:jc w:val="both"/>
        <w:rPr>
          <w:rFonts w:ascii="Aptos" w:hAnsi="Aptos" w:cs="Times New Roman"/>
        </w:rPr>
      </w:pPr>
      <w:r w:rsidRPr="005414A6">
        <w:rPr>
          <w:rFonts w:ascii="Aptos" w:hAnsi="Aptos" w:cs="Times New Roman"/>
        </w:rPr>
        <w:t>Actualizar la tabla de destinos conforme a la Resolución 2025060163216 (LADM-COL v4.1) y armonizar las remisiones técnicas con la regulación vigente (catastro multipropósito).</w:t>
      </w:r>
    </w:p>
    <w:p w14:paraId="6B02FEEF" w14:textId="7562CF76" w:rsidR="005414A6" w:rsidRPr="005414A6" w:rsidRDefault="005414A6" w:rsidP="005414A6">
      <w:pPr>
        <w:numPr>
          <w:ilvl w:val="0"/>
          <w:numId w:val="22"/>
        </w:numPr>
        <w:spacing w:line="360" w:lineRule="auto"/>
        <w:jc w:val="both"/>
        <w:rPr>
          <w:rFonts w:ascii="Aptos" w:hAnsi="Aptos" w:cs="Times New Roman"/>
        </w:rPr>
      </w:pPr>
      <w:r w:rsidRPr="005414A6">
        <w:rPr>
          <w:rFonts w:ascii="Aptos" w:hAnsi="Aptos" w:cs="Times New Roman"/>
        </w:rPr>
        <w:lastRenderedPageBreak/>
        <w:t>Depurar la matriz: fijar una prelación única entre tablas (general/especial), eliminar duplicidades, unificar tarifas de categorías equivalentes y justificar milajes atípicos.</w:t>
      </w:r>
    </w:p>
    <w:p w14:paraId="6CFB17D9" w14:textId="77777777" w:rsidR="005414A6" w:rsidRPr="005414A6" w:rsidRDefault="005414A6" w:rsidP="005414A6">
      <w:pPr>
        <w:numPr>
          <w:ilvl w:val="0"/>
          <w:numId w:val="22"/>
        </w:numPr>
        <w:spacing w:line="360" w:lineRule="auto"/>
        <w:jc w:val="both"/>
        <w:rPr>
          <w:rFonts w:ascii="Aptos" w:hAnsi="Aptos" w:cs="Times New Roman"/>
        </w:rPr>
      </w:pPr>
      <w:r w:rsidRPr="005414A6">
        <w:rPr>
          <w:rFonts w:ascii="Aptos" w:hAnsi="Aptos" w:cs="Times New Roman"/>
        </w:rPr>
        <w:t>Unificar el régimen de límites escogiendo un solo esquema y acotando excepciones; establecer reglas claras de rezago y una metodología de transición por etapas.</w:t>
      </w:r>
    </w:p>
    <w:p w14:paraId="77CED7CA" w14:textId="77777777" w:rsidR="005414A6" w:rsidRPr="005414A6" w:rsidRDefault="005414A6" w:rsidP="005414A6">
      <w:pPr>
        <w:numPr>
          <w:ilvl w:val="0"/>
          <w:numId w:val="22"/>
        </w:numPr>
        <w:spacing w:line="360" w:lineRule="auto"/>
        <w:jc w:val="both"/>
        <w:rPr>
          <w:rFonts w:ascii="Aptos" w:hAnsi="Aptos" w:cs="Times New Roman"/>
        </w:rPr>
      </w:pPr>
      <w:r w:rsidRPr="005414A6">
        <w:rPr>
          <w:rFonts w:ascii="Aptos" w:hAnsi="Aptos" w:cs="Times New Roman"/>
        </w:rPr>
        <w:t>Crear tratamiento tarifario específico para pequeña propiedad rural con requisitos de acceso y verificación.</w:t>
      </w:r>
    </w:p>
    <w:p w14:paraId="5539593E" w14:textId="77777777" w:rsidR="005414A6" w:rsidRPr="005414A6" w:rsidRDefault="005414A6" w:rsidP="005414A6">
      <w:pPr>
        <w:numPr>
          <w:ilvl w:val="0"/>
          <w:numId w:val="22"/>
        </w:numPr>
        <w:spacing w:line="360" w:lineRule="auto"/>
        <w:jc w:val="both"/>
        <w:rPr>
          <w:rFonts w:ascii="Aptos" w:hAnsi="Aptos" w:cs="Times New Roman"/>
        </w:rPr>
      </w:pPr>
      <w:r w:rsidRPr="005414A6">
        <w:rPr>
          <w:rFonts w:ascii="Aptos" w:hAnsi="Aptos" w:cs="Times New Roman"/>
        </w:rPr>
        <w:t>Formalizar un protocolo para beneficios ambientales/uso del suelo: autoridad certificadora, documentos, cálculo proporcional por área, vigencia/renovación y causales de pérdida; incluir regla de prelación cuando confluyen alivios en un mismo predio.</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29A1" w14:textId="77777777" w:rsidR="0013461B" w:rsidRDefault="0013461B" w:rsidP="00707E60">
      <w:pPr>
        <w:spacing w:after="0" w:line="240" w:lineRule="auto"/>
      </w:pPr>
      <w:r>
        <w:separator/>
      </w:r>
    </w:p>
  </w:endnote>
  <w:endnote w:type="continuationSeparator" w:id="0">
    <w:p w14:paraId="640FA230" w14:textId="77777777" w:rsidR="0013461B" w:rsidRDefault="0013461B"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EndPr>
      <w:rPr>
        <w:rStyle w:val="PageNumber"/>
      </w:rPr>
    </w:sdtEnd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EndPr>
      <w:rPr>
        <w:rStyle w:val="PageNumber"/>
      </w:rPr>
    </w:sdtEnd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5546" w14:textId="77777777" w:rsidR="0013461B" w:rsidRDefault="0013461B" w:rsidP="00707E60">
      <w:pPr>
        <w:spacing w:after="0" w:line="240" w:lineRule="auto"/>
      </w:pPr>
      <w:r>
        <w:separator/>
      </w:r>
    </w:p>
  </w:footnote>
  <w:footnote w:type="continuationSeparator" w:id="0">
    <w:p w14:paraId="7DE2E448" w14:textId="77777777" w:rsidR="0013461B" w:rsidRDefault="0013461B"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8240"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604B0B1"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A0423F">
                            <w:rPr>
                              <w:color w:val="000000" w:themeColor="text1"/>
                              <w:sz w:val="28"/>
                              <w:szCs w:val="28"/>
                            </w:rPr>
                            <w:t>Anzá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604B0B1"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A0423F">
                      <w:rPr>
                        <w:color w:val="000000" w:themeColor="text1"/>
                        <w:sz w:val="28"/>
                        <w:szCs w:val="28"/>
                      </w:rPr>
                      <w:t>Anzá</w:t>
                    </w:r>
                  </w:p>
                </w:txbxContent>
              </v:textbox>
            </v:shape>
          </w:pict>
        </mc:Fallback>
      </mc:AlternateContent>
    </w:r>
    <w:r w:rsidRPr="001B18EF">
      <w:rPr>
        <w:noProof/>
        <w:lang w:eastAsia="es-CO"/>
      </w:rPr>
      <w:drawing>
        <wp:anchor distT="0" distB="0" distL="114300" distR="114300" simplePos="0" relativeHeight="251658241"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22EFE"/>
    <w:multiLevelType w:val="hybridMultilevel"/>
    <w:tmpl w:val="23D2AE2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9506A"/>
    <w:multiLevelType w:val="multilevel"/>
    <w:tmpl w:val="78B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59711C35"/>
    <w:multiLevelType w:val="hybridMultilevel"/>
    <w:tmpl w:val="B17C976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185ACC"/>
    <w:multiLevelType w:val="multilevel"/>
    <w:tmpl w:val="255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10"/>
  </w:num>
  <w:num w:numId="3" w16cid:durableId="44450645">
    <w:abstractNumId w:val="17"/>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2"/>
  </w:num>
  <w:num w:numId="9" w16cid:durableId="350257001">
    <w:abstractNumId w:val="3"/>
  </w:num>
  <w:num w:numId="10" w16cid:durableId="1078140204">
    <w:abstractNumId w:val="8"/>
  </w:num>
  <w:num w:numId="11" w16cid:durableId="1792938771">
    <w:abstractNumId w:val="9"/>
  </w:num>
  <w:num w:numId="12" w16cid:durableId="1526560268">
    <w:abstractNumId w:val="19"/>
  </w:num>
  <w:num w:numId="13" w16cid:durableId="684139451">
    <w:abstractNumId w:val="20"/>
  </w:num>
  <w:num w:numId="14" w16cid:durableId="2066485375">
    <w:abstractNumId w:val="21"/>
  </w:num>
  <w:num w:numId="15" w16cid:durableId="1048799774">
    <w:abstractNumId w:val="2"/>
  </w:num>
  <w:num w:numId="16" w16cid:durableId="763765178">
    <w:abstractNumId w:val="11"/>
  </w:num>
  <w:num w:numId="17" w16cid:durableId="1841503235">
    <w:abstractNumId w:val="15"/>
  </w:num>
  <w:num w:numId="18" w16cid:durableId="850992304">
    <w:abstractNumId w:val="14"/>
  </w:num>
  <w:num w:numId="19" w16cid:durableId="506945400">
    <w:abstractNumId w:val="16"/>
  </w:num>
  <w:num w:numId="20" w16cid:durableId="1964997161">
    <w:abstractNumId w:val="6"/>
  </w:num>
  <w:num w:numId="21" w16cid:durableId="359014110">
    <w:abstractNumId w:val="18"/>
  </w:num>
  <w:num w:numId="22" w16cid:durableId="108621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13461B"/>
    <w:rsid w:val="00211E44"/>
    <w:rsid w:val="0023618C"/>
    <w:rsid w:val="0027082C"/>
    <w:rsid w:val="0031580C"/>
    <w:rsid w:val="003650D0"/>
    <w:rsid w:val="003A7CEA"/>
    <w:rsid w:val="003E2241"/>
    <w:rsid w:val="004107CA"/>
    <w:rsid w:val="004211E5"/>
    <w:rsid w:val="005025F7"/>
    <w:rsid w:val="005414A6"/>
    <w:rsid w:val="005422DF"/>
    <w:rsid w:val="005B7CC0"/>
    <w:rsid w:val="005C3FCA"/>
    <w:rsid w:val="005D08ED"/>
    <w:rsid w:val="005F7A75"/>
    <w:rsid w:val="00605B4C"/>
    <w:rsid w:val="00665846"/>
    <w:rsid w:val="006A249B"/>
    <w:rsid w:val="006C7AFA"/>
    <w:rsid w:val="00701CC9"/>
    <w:rsid w:val="00707E60"/>
    <w:rsid w:val="00723620"/>
    <w:rsid w:val="00813F67"/>
    <w:rsid w:val="008440F9"/>
    <w:rsid w:val="00844CC8"/>
    <w:rsid w:val="00845F02"/>
    <w:rsid w:val="00855468"/>
    <w:rsid w:val="00857B4F"/>
    <w:rsid w:val="008A3682"/>
    <w:rsid w:val="009A1C38"/>
    <w:rsid w:val="009D1788"/>
    <w:rsid w:val="009D1F9E"/>
    <w:rsid w:val="00A0423F"/>
    <w:rsid w:val="00A27409"/>
    <w:rsid w:val="00A456B7"/>
    <w:rsid w:val="00A53B01"/>
    <w:rsid w:val="00A55C9A"/>
    <w:rsid w:val="00A60686"/>
    <w:rsid w:val="00A741EE"/>
    <w:rsid w:val="00A96461"/>
    <w:rsid w:val="00AA7DD4"/>
    <w:rsid w:val="00B9278F"/>
    <w:rsid w:val="00B9597A"/>
    <w:rsid w:val="00BC7035"/>
    <w:rsid w:val="00BE3801"/>
    <w:rsid w:val="00C04706"/>
    <w:rsid w:val="00C24423"/>
    <w:rsid w:val="00C3440A"/>
    <w:rsid w:val="00C4509C"/>
    <w:rsid w:val="00C942B0"/>
    <w:rsid w:val="00C956B7"/>
    <w:rsid w:val="00D37EF2"/>
    <w:rsid w:val="00D51368"/>
    <w:rsid w:val="00DB14E5"/>
    <w:rsid w:val="00DD0016"/>
    <w:rsid w:val="00E20840"/>
    <w:rsid w:val="00E608BE"/>
    <w:rsid w:val="00E93202"/>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20</cp:revision>
  <dcterms:created xsi:type="dcterms:W3CDTF">2025-10-23T17:12:00Z</dcterms:created>
  <dcterms:modified xsi:type="dcterms:W3CDTF">2025-11-04T16:07:00Z</dcterms:modified>
</cp:coreProperties>
</file>