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716AFCE2"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1E61AC">
        <w:rPr>
          <w:color w:val="000000" w:themeColor="text1"/>
          <w:sz w:val="44"/>
          <w:szCs w:val="44"/>
        </w:rPr>
        <w:t>Betania</w:t>
      </w:r>
      <w:r w:rsidR="000E68D2">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28FF56C9" w14:textId="77777777" w:rsidR="001E61AC" w:rsidRPr="001E61AC" w:rsidRDefault="001E61AC" w:rsidP="001E61AC">
      <w:pPr>
        <w:spacing w:line="360" w:lineRule="auto"/>
        <w:jc w:val="both"/>
        <w:rPr>
          <w:rFonts w:ascii="Aptos" w:hAnsi="Aptos" w:cs="Times New Roman"/>
        </w:rPr>
      </w:pPr>
      <w:r w:rsidRPr="001E61AC">
        <w:rPr>
          <w:rFonts w:ascii="Aptos" w:hAnsi="Aptos" w:cs="Times New Roman"/>
        </w:rPr>
        <w:lastRenderedPageBreak/>
        <w:t>El estado actual de su normatividad tributaria se establece en los Acuerdos 020 de 2022 y 003 de 2024.</w:t>
      </w:r>
    </w:p>
    <w:p w14:paraId="66B12FE3" w14:textId="77777777" w:rsidR="001E61AC" w:rsidRPr="001E61AC" w:rsidRDefault="001E61AC" w:rsidP="001E61AC">
      <w:pPr>
        <w:spacing w:line="360" w:lineRule="auto"/>
        <w:jc w:val="both"/>
        <w:rPr>
          <w:rFonts w:ascii="Aptos" w:hAnsi="Aptos" w:cs="Times New Roman"/>
          <w:b/>
          <w:bCs/>
          <w:sz w:val="32"/>
          <w:szCs w:val="32"/>
        </w:rPr>
      </w:pPr>
      <w:r w:rsidRPr="001E61AC">
        <w:rPr>
          <w:rFonts w:ascii="Aptos" w:hAnsi="Aptos" w:cs="Times New Roman"/>
          <w:b/>
          <w:bCs/>
          <w:sz w:val="32"/>
          <w:szCs w:val="32"/>
        </w:rPr>
        <w:t>Hallazgos</w:t>
      </w:r>
    </w:p>
    <w:p w14:paraId="3687139F" w14:textId="77777777" w:rsidR="001E61AC" w:rsidRPr="001E61AC" w:rsidRDefault="001E61AC" w:rsidP="001E61AC">
      <w:pPr>
        <w:numPr>
          <w:ilvl w:val="0"/>
          <w:numId w:val="43"/>
        </w:numPr>
        <w:spacing w:line="360" w:lineRule="auto"/>
        <w:jc w:val="both"/>
        <w:rPr>
          <w:rFonts w:ascii="Aptos" w:hAnsi="Aptos" w:cs="Times New Roman"/>
        </w:rPr>
      </w:pPr>
      <w:r w:rsidRPr="001E61AC">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70893C6" w14:textId="77777777" w:rsidR="001E61AC" w:rsidRPr="001E61AC" w:rsidRDefault="001E61AC" w:rsidP="001E61AC">
      <w:pPr>
        <w:numPr>
          <w:ilvl w:val="0"/>
          <w:numId w:val="43"/>
        </w:numPr>
        <w:spacing w:line="360" w:lineRule="auto"/>
        <w:jc w:val="both"/>
        <w:rPr>
          <w:rFonts w:ascii="Aptos" w:hAnsi="Aptos" w:cs="Times New Roman"/>
        </w:rPr>
      </w:pPr>
      <w:r w:rsidRPr="001E61AC">
        <w:rPr>
          <w:rFonts w:ascii="Aptos" w:hAnsi="Aptos" w:cs="Times New Roman"/>
        </w:rPr>
        <w:t>El impuesto predial se desarrolla a partir del artículo 77: carácter real, autorización legal, base gravable (debe recogerse por la Resolución 1040 de 2023 porque la referencia vigente en el texto se indica como derogada), hecho generador, sujeto activo y pasivo y causación.</w:t>
      </w:r>
    </w:p>
    <w:p w14:paraId="1F1A0B0B" w14:textId="77777777" w:rsidR="001E61AC" w:rsidRPr="001E61AC" w:rsidRDefault="001E61AC" w:rsidP="001E61AC">
      <w:pPr>
        <w:numPr>
          <w:ilvl w:val="0"/>
          <w:numId w:val="43"/>
        </w:numPr>
        <w:spacing w:line="360" w:lineRule="auto"/>
        <w:jc w:val="both"/>
        <w:rPr>
          <w:rFonts w:ascii="Aptos" w:hAnsi="Aptos" w:cs="Times New Roman"/>
        </w:rPr>
      </w:pPr>
      <w:r w:rsidRPr="001E61AC">
        <w:rPr>
          <w:rFonts w:ascii="Aptos" w:hAnsi="Aptos" w:cs="Times New Roman"/>
        </w:rPr>
        <w:t>Prohibido gravamen/exoneraciones en el mismo articulado (iglesias, instituciones educativas, JAC, predios de entidades públicas destinadas a salud), con mezcla de categorías.</w:t>
      </w:r>
    </w:p>
    <w:p w14:paraId="45265F11" w14:textId="77777777" w:rsidR="001E61AC" w:rsidRPr="001E61AC" w:rsidRDefault="001E61AC" w:rsidP="001E61AC">
      <w:pPr>
        <w:numPr>
          <w:ilvl w:val="0"/>
          <w:numId w:val="43"/>
        </w:numPr>
        <w:spacing w:line="360" w:lineRule="auto"/>
        <w:jc w:val="both"/>
        <w:rPr>
          <w:rFonts w:ascii="Aptos" w:hAnsi="Aptos" w:cs="Times New Roman"/>
        </w:rPr>
      </w:pPr>
      <w:r w:rsidRPr="001E61AC">
        <w:rPr>
          <w:rFonts w:ascii="Aptos" w:hAnsi="Aptos" w:cs="Times New Roman"/>
        </w:rPr>
        <w:t>Matriz tarifaria por destinos económicos definida por Catastro Departamental; debe actualizarse con la última resolución de la Gerencia de Catastro.</w:t>
      </w:r>
    </w:p>
    <w:p w14:paraId="6C19E03F" w14:textId="77777777" w:rsidR="001E61AC" w:rsidRPr="001E61AC" w:rsidRDefault="001E61AC" w:rsidP="001E61AC">
      <w:pPr>
        <w:numPr>
          <w:ilvl w:val="0"/>
          <w:numId w:val="43"/>
        </w:numPr>
        <w:spacing w:line="360" w:lineRule="auto"/>
        <w:jc w:val="both"/>
        <w:rPr>
          <w:rFonts w:ascii="Aptos" w:hAnsi="Aptos" w:cs="Times New Roman"/>
        </w:rPr>
      </w:pPr>
      <w:r w:rsidRPr="001E61AC">
        <w:rPr>
          <w:rFonts w:ascii="Aptos" w:hAnsi="Aptos" w:cs="Times New Roman"/>
        </w:rPr>
        <w:t>Facturación como título ejecutivo.</w:t>
      </w:r>
    </w:p>
    <w:p w14:paraId="37BCBF42" w14:textId="77777777" w:rsidR="001E61AC" w:rsidRPr="001E61AC" w:rsidRDefault="001E61AC" w:rsidP="001E61AC">
      <w:pPr>
        <w:numPr>
          <w:ilvl w:val="0"/>
          <w:numId w:val="43"/>
        </w:numPr>
        <w:spacing w:line="360" w:lineRule="auto"/>
        <w:jc w:val="both"/>
        <w:rPr>
          <w:rFonts w:ascii="Aptos" w:hAnsi="Aptos" w:cs="Times New Roman"/>
        </w:rPr>
      </w:pPr>
      <w:r w:rsidRPr="001E61AC">
        <w:rPr>
          <w:rFonts w:ascii="Aptos" w:hAnsi="Aptos" w:cs="Times New Roman"/>
        </w:rPr>
        <w:t>Porcentaje ambiental del 15 % sobre el recaudo del IPU.</w:t>
      </w:r>
    </w:p>
    <w:p w14:paraId="5F020FE1" w14:textId="77777777" w:rsidR="001E61AC" w:rsidRPr="001E61AC" w:rsidRDefault="001E61AC" w:rsidP="001E61AC">
      <w:pPr>
        <w:numPr>
          <w:ilvl w:val="0"/>
          <w:numId w:val="43"/>
        </w:numPr>
        <w:spacing w:line="360" w:lineRule="auto"/>
        <w:jc w:val="both"/>
        <w:rPr>
          <w:rFonts w:ascii="Aptos" w:hAnsi="Aptos" w:cs="Times New Roman"/>
        </w:rPr>
      </w:pPr>
      <w:r w:rsidRPr="001E61AC">
        <w:rPr>
          <w:rFonts w:ascii="Aptos" w:hAnsi="Aptos" w:cs="Times New Roman"/>
        </w:rPr>
        <w:t>Sobretasa de alumbrado público: 1 por mil sobre el avalúo (se requieren ajustes para respetar límites de incremento).</w:t>
      </w:r>
    </w:p>
    <w:p w14:paraId="6D2820D3" w14:textId="77777777" w:rsidR="001E61AC" w:rsidRPr="001E61AC" w:rsidRDefault="001E61AC" w:rsidP="001E61AC">
      <w:pPr>
        <w:numPr>
          <w:ilvl w:val="0"/>
          <w:numId w:val="43"/>
        </w:numPr>
        <w:spacing w:line="360" w:lineRule="auto"/>
        <w:jc w:val="both"/>
        <w:rPr>
          <w:rFonts w:ascii="Aptos" w:hAnsi="Aptos" w:cs="Times New Roman"/>
        </w:rPr>
      </w:pPr>
      <w:r w:rsidRPr="001E61AC">
        <w:rPr>
          <w:rFonts w:ascii="Aptos" w:hAnsi="Aptos" w:cs="Times New Roman"/>
        </w:rPr>
        <w:t>Sobretasa bomberil determinada como porcentaje sobre el IPU (sin detalle en el texto).</w:t>
      </w:r>
    </w:p>
    <w:p w14:paraId="378022AF" w14:textId="77777777" w:rsidR="001E61AC" w:rsidRPr="001E61AC" w:rsidRDefault="001E61AC" w:rsidP="001E61AC">
      <w:pPr>
        <w:numPr>
          <w:ilvl w:val="0"/>
          <w:numId w:val="43"/>
        </w:numPr>
        <w:spacing w:line="360" w:lineRule="auto"/>
        <w:jc w:val="both"/>
        <w:rPr>
          <w:rFonts w:ascii="Aptos" w:hAnsi="Aptos" w:cs="Times New Roman"/>
        </w:rPr>
      </w:pPr>
      <w:r w:rsidRPr="001E61AC">
        <w:rPr>
          <w:rFonts w:ascii="Aptos" w:hAnsi="Aptos" w:cs="Times New Roman"/>
        </w:rPr>
        <w:t>Limitaciones Ley 1995 para incrementos del IPU por actualización catastral.</w:t>
      </w:r>
    </w:p>
    <w:p w14:paraId="49BF59EE" w14:textId="77777777" w:rsidR="001E61AC" w:rsidRPr="001E61AC" w:rsidRDefault="001E61AC" w:rsidP="001E61AC">
      <w:pPr>
        <w:numPr>
          <w:ilvl w:val="0"/>
          <w:numId w:val="43"/>
        </w:numPr>
        <w:spacing w:line="360" w:lineRule="auto"/>
        <w:jc w:val="both"/>
        <w:rPr>
          <w:rFonts w:ascii="Aptos" w:hAnsi="Aptos" w:cs="Times New Roman"/>
        </w:rPr>
      </w:pPr>
      <w:r w:rsidRPr="001E61AC">
        <w:rPr>
          <w:rFonts w:ascii="Aptos" w:hAnsi="Aptos" w:cs="Times New Roman"/>
        </w:rPr>
        <w:t>No se determina regulación sobre rezago catastral.</w:t>
      </w:r>
    </w:p>
    <w:p w14:paraId="4CE9EECE" w14:textId="77777777" w:rsidR="001E61AC" w:rsidRPr="001E61AC" w:rsidRDefault="001E61AC" w:rsidP="001E61AC">
      <w:pPr>
        <w:numPr>
          <w:ilvl w:val="0"/>
          <w:numId w:val="43"/>
        </w:numPr>
        <w:spacing w:line="360" w:lineRule="auto"/>
        <w:jc w:val="both"/>
        <w:rPr>
          <w:rFonts w:ascii="Aptos" w:hAnsi="Aptos" w:cs="Times New Roman"/>
        </w:rPr>
      </w:pPr>
      <w:r w:rsidRPr="001E61AC">
        <w:rPr>
          <w:rFonts w:ascii="Aptos" w:hAnsi="Aptos" w:cs="Times New Roman"/>
        </w:rPr>
        <w:t>El ET no incorpora tratamientos diferenciados o beneficios por condiciones ambientales</w:t>
      </w:r>
    </w:p>
    <w:p w14:paraId="457B2B87" w14:textId="77777777" w:rsidR="001E61AC" w:rsidRPr="001E61AC" w:rsidRDefault="001E61AC" w:rsidP="001E61AC">
      <w:pPr>
        <w:spacing w:line="360" w:lineRule="auto"/>
        <w:jc w:val="both"/>
        <w:rPr>
          <w:rFonts w:ascii="Aptos" w:hAnsi="Aptos" w:cs="Times New Roman"/>
        </w:rPr>
      </w:pPr>
    </w:p>
    <w:p w14:paraId="2141B9F4" w14:textId="77777777" w:rsidR="001E61AC" w:rsidRPr="001E61AC" w:rsidRDefault="001E61AC" w:rsidP="001E61AC">
      <w:pPr>
        <w:spacing w:line="360" w:lineRule="auto"/>
        <w:jc w:val="both"/>
        <w:rPr>
          <w:rFonts w:ascii="Aptos" w:hAnsi="Aptos" w:cs="Times New Roman"/>
          <w:b/>
          <w:bCs/>
          <w:sz w:val="32"/>
          <w:szCs w:val="32"/>
        </w:rPr>
      </w:pPr>
      <w:r w:rsidRPr="001E61AC">
        <w:rPr>
          <w:rFonts w:ascii="Aptos" w:hAnsi="Aptos" w:cs="Times New Roman"/>
          <w:b/>
          <w:bCs/>
          <w:sz w:val="32"/>
          <w:szCs w:val="32"/>
        </w:rPr>
        <w:lastRenderedPageBreak/>
        <w:t>Recomendaciones</w:t>
      </w:r>
    </w:p>
    <w:p w14:paraId="71878C4C" w14:textId="77777777" w:rsidR="001E61AC" w:rsidRPr="001E61AC" w:rsidRDefault="001E61AC" w:rsidP="001E61AC">
      <w:pPr>
        <w:numPr>
          <w:ilvl w:val="0"/>
          <w:numId w:val="44"/>
        </w:numPr>
        <w:spacing w:line="360" w:lineRule="auto"/>
        <w:jc w:val="both"/>
        <w:rPr>
          <w:rFonts w:ascii="Aptos" w:hAnsi="Aptos" w:cs="Times New Roman"/>
        </w:rPr>
      </w:pPr>
      <w:r w:rsidRPr="001E61AC">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781E2476" w14:textId="77777777" w:rsidR="001E61AC" w:rsidRPr="001E61AC" w:rsidRDefault="001E61AC" w:rsidP="001E61AC">
      <w:pPr>
        <w:numPr>
          <w:ilvl w:val="0"/>
          <w:numId w:val="44"/>
        </w:numPr>
        <w:spacing w:line="360" w:lineRule="auto"/>
        <w:jc w:val="both"/>
        <w:rPr>
          <w:rFonts w:ascii="Aptos" w:hAnsi="Aptos" w:cs="Times New Roman"/>
        </w:rPr>
      </w:pPr>
      <w:r w:rsidRPr="001E61AC">
        <w:rPr>
          <w:rFonts w:ascii="Aptos" w:hAnsi="Aptos" w:cs="Times New Roman"/>
        </w:rPr>
        <w:t>Actualizar la base gravable y procedimientos catastrales a la Resolución 1040 de 2023, reemplazando referencias derogadas y estandarizando hecho generador, sujetos y causación.</w:t>
      </w:r>
    </w:p>
    <w:p w14:paraId="3769AF70" w14:textId="77777777" w:rsidR="001E61AC" w:rsidRPr="001E61AC" w:rsidRDefault="001E61AC" w:rsidP="001E61AC">
      <w:pPr>
        <w:numPr>
          <w:ilvl w:val="0"/>
          <w:numId w:val="44"/>
        </w:numPr>
        <w:spacing w:line="360" w:lineRule="auto"/>
        <w:jc w:val="both"/>
        <w:rPr>
          <w:rFonts w:ascii="Aptos" w:hAnsi="Aptos" w:cs="Times New Roman"/>
        </w:rPr>
      </w:pPr>
      <w:r w:rsidRPr="001E61AC">
        <w:rPr>
          <w:rFonts w:ascii="Aptos" w:hAnsi="Aptos" w:cs="Times New Roman"/>
        </w:rPr>
        <w:t>Diferenciar con precisión prohibiciones/no causaciones de exoneraciones, definiendo requisitos y vigencias para cada beneficio.</w:t>
      </w:r>
    </w:p>
    <w:p w14:paraId="6C7C3D2B" w14:textId="77777777" w:rsidR="001E61AC" w:rsidRPr="001E61AC" w:rsidRDefault="001E61AC" w:rsidP="001E61AC">
      <w:pPr>
        <w:numPr>
          <w:ilvl w:val="0"/>
          <w:numId w:val="44"/>
        </w:numPr>
        <w:spacing w:line="360" w:lineRule="auto"/>
        <w:jc w:val="both"/>
        <w:rPr>
          <w:rFonts w:ascii="Aptos" w:hAnsi="Aptos" w:cs="Times New Roman"/>
        </w:rPr>
      </w:pPr>
      <w:r w:rsidRPr="001E61AC">
        <w:rPr>
          <w:rFonts w:ascii="Aptos" w:hAnsi="Aptos" w:cs="Times New Roman"/>
        </w:rPr>
        <w:t>Precisar la sobretasa bomberil (porcentaje, base, procedimiento, límites) para seguridad jurídica y control del impacto.</w:t>
      </w:r>
    </w:p>
    <w:p w14:paraId="75438085" w14:textId="77777777" w:rsidR="001E61AC" w:rsidRPr="001E61AC" w:rsidRDefault="001E61AC" w:rsidP="001E61AC">
      <w:pPr>
        <w:numPr>
          <w:ilvl w:val="0"/>
          <w:numId w:val="44"/>
        </w:numPr>
        <w:spacing w:line="360" w:lineRule="auto"/>
        <w:jc w:val="both"/>
        <w:rPr>
          <w:rFonts w:ascii="Aptos" w:hAnsi="Aptos" w:cs="Times New Roman"/>
        </w:rPr>
      </w:pPr>
      <w:r w:rsidRPr="001E61AC">
        <w:rPr>
          <w:rFonts w:ascii="Aptos" w:hAnsi="Aptos" w:cs="Times New Roman"/>
        </w:rPr>
        <w:t>Ajustar la sobretasa de alumbrado público (1 por mil) a topes y reglas de gradualidad coherentes con la Ley 1995, integrando criterios de compatibilidad con la evolución del avalúo.</w:t>
      </w:r>
    </w:p>
    <w:p w14:paraId="39A66FB8" w14:textId="77777777" w:rsidR="001E61AC" w:rsidRPr="001E61AC" w:rsidRDefault="001E61AC" w:rsidP="001E61AC">
      <w:pPr>
        <w:numPr>
          <w:ilvl w:val="0"/>
          <w:numId w:val="44"/>
        </w:numPr>
        <w:spacing w:line="360" w:lineRule="auto"/>
        <w:jc w:val="both"/>
        <w:rPr>
          <w:rFonts w:ascii="Aptos" w:hAnsi="Aptos" w:cs="Times New Roman"/>
        </w:rPr>
      </w:pPr>
      <w:r w:rsidRPr="001E61AC">
        <w:rPr>
          <w:rFonts w:ascii="Aptos" w:hAnsi="Aptos" w:cs="Times New Roman"/>
        </w:rPr>
        <w:t>Incorporar límites y reglas de gradualidad por rezago catastral, con topes anuales, metodología de aplicación y transición, dado que el texto señala ausencia de regulación sobre rezago.</w:t>
      </w:r>
    </w:p>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315C8" w14:textId="77777777" w:rsidR="00C67AB9" w:rsidRDefault="00C67AB9" w:rsidP="00707E60">
      <w:pPr>
        <w:spacing w:after="0" w:line="240" w:lineRule="auto"/>
      </w:pPr>
      <w:r>
        <w:separator/>
      </w:r>
    </w:p>
  </w:endnote>
  <w:endnote w:type="continuationSeparator" w:id="0">
    <w:p w14:paraId="57DB7232" w14:textId="77777777" w:rsidR="00C67AB9" w:rsidRDefault="00C67AB9"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98D64" w14:textId="77777777" w:rsidR="00C67AB9" w:rsidRDefault="00C67AB9" w:rsidP="00707E60">
      <w:pPr>
        <w:spacing w:after="0" w:line="240" w:lineRule="auto"/>
      </w:pPr>
      <w:r>
        <w:separator/>
      </w:r>
    </w:p>
  </w:footnote>
  <w:footnote w:type="continuationSeparator" w:id="0">
    <w:p w14:paraId="6FA2BC7F" w14:textId="77777777" w:rsidR="00C67AB9" w:rsidRDefault="00C67AB9"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5F28A31A"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1E61AC">
                            <w:rPr>
                              <w:color w:val="000000" w:themeColor="text1"/>
                              <w:sz w:val="28"/>
                              <w:szCs w:val="28"/>
                            </w:rPr>
                            <w:t>Betania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5F28A31A"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1E61AC">
                      <w:rPr>
                        <w:color w:val="000000" w:themeColor="text1"/>
                        <w:sz w:val="28"/>
                        <w:szCs w:val="28"/>
                      </w:rPr>
                      <w:t>Betania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6254D"/>
    <w:multiLevelType w:val="hybridMultilevel"/>
    <w:tmpl w:val="8CE80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024D8A"/>
    <w:multiLevelType w:val="hybridMultilevel"/>
    <w:tmpl w:val="EC0A02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8A1F51"/>
    <w:multiLevelType w:val="multilevel"/>
    <w:tmpl w:val="2394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7C7ECF"/>
    <w:multiLevelType w:val="hybridMultilevel"/>
    <w:tmpl w:val="22F0A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FC0CEF"/>
    <w:multiLevelType w:val="hybridMultilevel"/>
    <w:tmpl w:val="AB4C10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6C70384"/>
    <w:multiLevelType w:val="multilevel"/>
    <w:tmpl w:val="118C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21908"/>
    <w:multiLevelType w:val="multilevel"/>
    <w:tmpl w:val="060A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2B2877"/>
    <w:multiLevelType w:val="hybridMultilevel"/>
    <w:tmpl w:val="135ACA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8C01C3"/>
    <w:multiLevelType w:val="hybridMultilevel"/>
    <w:tmpl w:val="AC9A3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92601C"/>
    <w:multiLevelType w:val="multilevel"/>
    <w:tmpl w:val="95AC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EA7D8E"/>
    <w:multiLevelType w:val="multilevel"/>
    <w:tmpl w:val="E9DE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5B1FDE"/>
    <w:multiLevelType w:val="multilevel"/>
    <w:tmpl w:val="838C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EA4E6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56292A"/>
    <w:multiLevelType w:val="multilevel"/>
    <w:tmpl w:val="D0A2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4B03A6"/>
    <w:multiLevelType w:val="multilevel"/>
    <w:tmpl w:val="4B4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50FC5"/>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A0050B"/>
    <w:multiLevelType w:val="multilevel"/>
    <w:tmpl w:val="2F40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F47BF6"/>
    <w:multiLevelType w:val="multilevel"/>
    <w:tmpl w:val="A7CE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7704">
    <w:abstractNumId w:val="9"/>
  </w:num>
  <w:num w:numId="2" w16cid:durableId="1017347282">
    <w:abstractNumId w:val="18"/>
  </w:num>
  <w:num w:numId="3" w16cid:durableId="44450645">
    <w:abstractNumId w:val="31"/>
  </w:num>
  <w:num w:numId="4" w16cid:durableId="1953855267">
    <w:abstractNumId w:val="0"/>
  </w:num>
  <w:num w:numId="5" w16cid:durableId="279457733">
    <w:abstractNumId w:val="11"/>
  </w:num>
  <w:num w:numId="6" w16cid:durableId="829055416">
    <w:abstractNumId w:val="1"/>
  </w:num>
  <w:num w:numId="7" w16cid:durableId="1974747392">
    <w:abstractNumId w:val="6"/>
  </w:num>
  <w:num w:numId="8" w16cid:durableId="1342120387">
    <w:abstractNumId w:val="24"/>
  </w:num>
  <w:num w:numId="9" w16cid:durableId="350257001">
    <w:abstractNumId w:val="5"/>
  </w:num>
  <w:num w:numId="10" w16cid:durableId="1078140204">
    <w:abstractNumId w:val="12"/>
  </w:num>
  <w:num w:numId="11" w16cid:durableId="1792938771">
    <w:abstractNumId w:val="13"/>
  </w:num>
  <w:num w:numId="12" w16cid:durableId="1526560268">
    <w:abstractNumId w:val="35"/>
  </w:num>
  <w:num w:numId="13" w16cid:durableId="684139451">
    <w:abstractNumId w:val="38"/>
  </w:num>
  <w:num w:numId="14" w16cid:durableId="2066485375">
    <w:abstractNumId w:val="39"/>
  </w:num>
  <w:num w:numId="15" w16cid:durableId="1048799774">
    <w:abstractNumId w:val="4"/>
  </w:num>
  <w:num w:numId="16" w16cid:durableId="763765178">
    <w:abstractNumId w:val="20"/>
  </w:num>
  <w:num w:numId="17" w16cid:durableId="312298011">
    <w:abstractNumId w:val="29"/>
  </w:num>
  <w:num w:numId="18" w16cid:durableId="1720469911">
    <w:abstractNumId w:val="22"/>
  </w:num>
  <w:num w:numId="19" w16cid:durableId="435371494">
    <w:abstractNumId w:val="26"/>
  </w:num>
  <w:num w:numId="20" w16cid:durableId="295719448">
    <w:abstractNumId w:val="27"/>
  </w:num>
  <w:num w:numId="21" w16cid:durableId="1577745992">
    <w:abstractNumId w:val="14"/>
  </w:num>
  <w:num w:numId="22" w16cid:durableId="1267925568">
    <w:abstractNumId w:val="33"/>
  </w:num>
  <w:num w:numId="23" w16cid:durableId="1861967186">
    <w:abstractNumId w:val="8"/>
  </w:num>
  <w:num w:numId="24" w16cid:durableId="601374337">
    <w:abstractNumId w:val="34"/>
  </w:num>
  <w:num w:numId="25" w16cid:durableId="1162700760">
    <w:abstractNumId w:val="37"/>
  </w:num>
  <w:num w:numId="26" w16cid:durableId="581332385">
    <w:abstractNumId w:val="19"/>
  </w:num>
  <w:num w:numId="27" w16cid:durableId="423887808">
    <w:abstractNumId w:val="32"/>
  </w:num>
  <w:num w:numId="28" w16cid:durableId="1186863597">
    <w:abstractNumId w:val="41"/>
  </w:num>
  <w:num w:numId="29" w16cid:durableId="340359362">
    <w:abstractNumId w:val="2"/>
  </w:num>
  <w:num w:numId="30" w16cid:durableId="1619264905">
    <w:abstractNumId w:val="3"/>
  </w:num>
  <w:num w:numId="31" w16cid:durableId="97989699">
    <w:abstractNumId w:val="10"/>
  </w:num>
  <w:num w:numId="32" w16cid:durableId="55206863">
    <w:abstractNumId w:val="23"/>
  </w:num>
  <w:num w:numId="33" w16cid:durableId="1697734897">
    <w:abstractNumId w:val="21"/>
  </w:num>
  <w:num w:numId="34" w16cid:durableId="720978602">
    <w:abstractNumId w:val="15"/>
  </w:num>
  <w:num w:numId="35" w16cid:durableId="1909030509">
    <w:abstractNumId w:val="28"/>
  </w:num>
  <w:num w:numId="36" w16cid:durableId="1979188356">
    <w:abstractNumId w:val="40"/>
  </w:num>
  <w:num w:numId="37" w16cid:durableId="1274362992">
    <w:abstractNumId w:val="30"/>
  </w:num>
  <w:num w:numId="38" w16cid:durableId="208806111">
    <w:abstractNumId w:val="16"/>
  </w:num>
  <w:num w:numId="39" w16cid:durableId="180818957">
    <w:abstractNumId w:val="25"/>
  </w:num>
  <w:num w:numId="40" w16cid:durableId="607664061">
    <w:abstractNumId w:val="36"/>
  </w:num>
  <w:num w:numId="41" w16cid:durableId="735667257">
    <w:abstractNumId w:val="42"/>
  </w:num>
  <w:num w:numId="42" w16cid:durableId="341517193">
    <w:abstractNumId w:val="7"/>
  </w:num>
  <w:num w:numId="43" w16cid:durableId="1180049825">
    <w:abstractNumId w:val="43"/>
  </w:num>
  <w:num w:numId="44" w16cid:durableId="14944902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5161C"/>
    <w:rsid w:val="000641E7"/>
    <w:rsid w:val="00084B98"/>
    <w:rsid w:val="000D7615"/>
    <w:rsid w:val="000E68D2"/>
    <w:rsid w:val="00120797"/>
    <w:rsid w:val="00134527"/>
    <w:rsid w:val="001C6F8E"/>
    <w:rsid w:val="001E61AC"/>
    <w:rsid w:val="001E6E73"/>
    <w:rsid w:val="00211E44"/>
    <w:rsid w:val="00231736"/>
    <w:rsid w:val="0023618C"/>
    <w:rsid w:val="002A510C"/>
    <w:rsid w:val="0031580C"/>
    <w:rsid w:val="0034535B"/>
    <w:rsid w:val="003650D0"/>
    <w:rsid w:val="003A7CEA"/>
    <w:rsid w:val="003E2241"/>
    <w:rsid w:val="003E2F94"/>
    <w:rsid w:val="004107CA"/>
    <w:rsid w:val="005422DF"/>
    <w:rsid w:val="00544342"/>
    <w:rsid w:val="005C3FCA"/>
    <w:rsid w:val="005D08ED"/>
    <w:rsid w:val="005F7A75"/>
    <w:rsid w:val="00605B4C"/>
    <w:rsid w:val="006348C8"/>
    <w:rsid w:val="00665846"/>
    <w:rsid w:val="006A249B"/>
    <w:rsid w:val="006A428E"/>
    <w:rsid w:val="006E68D4"/>
    <w:rsid w:val="00701CC9"/>
    <w:rsid w:val="00707E60"/>
    <w:rsid w:val="00723620"/>
    <w:rsid w:val="00740366"/>
    <w:rsid w:val="0075330F"/>
    <w:rsid w:val="007C2E1E"/>
    <w:rsid w:val="007D4299"/>
    <w:rsid w:val="00813F67"/>
    <w:rsid w:val="00844CC8"/>
    <w:rsid w:val="00845F02"/>
    <w:rsid w:val="00855468"/>
    <w:rsid w:val="00933720"/>
    <w:rsid w:val="009501F5"/>
    <w:rsid w:val="009D1788"/>
    <w:rsid w:val="009D1F9E"/>
    <w:rsid w:val="00A27409"/>
    <w:rsid w:val="00A53B01"/>
    <w:rsid w:val="00A55C9A"/>
    <w:rsid w:val="00A60686"/>
    <w:rsid w:val="00A96461"/>
    <w:rsid w:val="00AA7DD4"/>
    <w:rsid w:val="00B01FF5"/>
    <w:rsid w:val="00B34D3F"/>
    <w:rsid w:val="00B9278F"/>
    <w:rsid w:val="00B9597A"/>
    <w:rsid w:val="00BC7035"/>
    <w:rsid w:val="00BE3801"/>
    <w:rsid w:val="00C04706"/>
    <w:rsid w:val="00C24423"/>
    <w:rsid w:val="00C3440A"/>
    <w:rsid w:val="00C431F2"/>
    <w:rsid w:val="00C4509C"/>
    <w:rsid w:val="00C67AB9"/>
    <w:rsid w:val="00C942B0"/>
    <w:rsid w:val="00D37EF2"/>
    <w:rsid w:val="00DB14E5"/>
    <w:rsid w:val="00DD0016"/>
    <w:rsid w:val="00E20762"/>
    <w:rsid w:val="00E20840"/>
    <w:rsid w:val="00E608BE"/>
    <w:rsid w:val="00E85012"/>
    <w:rsid w:val="00F27231"/>
    <w:rsid w:val="00F65205"/>
    <w:rsid w:val="00F92AA2"/>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458</Words>
  <Characters>2612</Characters>
  <Application>Microsoft Office Word</Application>
  <DocSecurity>0</DocSecurity>
  <Lines>21</Lines>
  <Paragraphs>6</Paragraphs>
  <ScaleCrop>false</ScaleCrop>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25</cp:revision>
  <dcterms:created xsi:type="dcterms:W3CDTF">2025-10-23T17:12:00Z</dcterms:created>
  <dcterms:modified xsi:type="dcterms:W3CDTF">2025-10-24T18:26:00Z</dcterms:modified>
</cp:coreProperties>
</file>