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423F9D60"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087C16">
        <w:rPr>
          <w:color w:val="000000" w:themeColor="text1"/>
          <w:sz w:val="44"/>
          <w:szCs w:val="44"/>
        </w:rPr>
        <w:t>Cañasgordas</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3D0CCB71" w14:textId="77777777" w:rsidR="00087C16" w:rsidRPr="00087C16" w:rsidRDefault="00087C16" w:rsidP="00087C16">
      <w:pPr>
        <w:spacing w:line="360" w:lineRule="auto"/>
        <w:jc w:val="both"/>
        <w:rPr>
          <w:rFonts w:ascii="Aptos" w:hAnsi="Aptos" w:cs="Times New Roman"/>
        </w:rPr>
      </w:pPr>
      <w:r w:rsidRPr="00087C16">
        <w:rPr>
          <w:rFonts w:ascii="Aptos" w:hAnsi="Aptos" w:cs="Times New Roman"/>
        </w:rPr>
        <w:lastRenderedPageBreak/>
        <w:t>El estado actual de su normatividad tributaria se establece en el Acuerdo 029 de 2021.</w:t>
      </w:r>
    </w:p>
    <w:p w14:paraId="2EE576CF" w14:textId="77777777" w:rsidR="00087C16" w:rsidRPr="00087C16" w:rsidRDefault="00087C16" w:rsidP="00087C16">
      <w:pPr>
        <w:spacing w:line="360" w:lineRule="auto"/>
        <w:jc w:val="both"/>
        <w:rPr>
          <w:rFonts w:ascii="Aptos" w:hAnsi="Aptos" w:cs="Times New Roman"/>
          <w:b/>
          <w:bCs/>
          <w:sz w:val="32"/>
          <w:szCs w:val="32"/>
        </w:rPr>
      </w:pPr>
      <w:r w:rsidRPr="00087C16">
        <w:rPr>
          <w:rFonts w:ascii="Aptos" w:hAnsi="Aptos" w:cs="Times New Roman"/>
          <w:b/>
          <w:bCs/>
          <w:sz w:val="32"/>
          <w:szCs w:val="32"/>
        </w:rPr>
        <w:t>Hallazgos</w:t>
      </w:r>
    </w:p>
    <w:p w14:paraId="340BA4FD"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DC543D2"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El Impuesto Predial Unificado se desarrolla a partir del artículo 14: carácter real, definición de avalúo, elementos del tributo y matriz tarifaria por rangos de avalúo (5 por mil a 33 por mil); se indica que la matriz debe actualizarse con los destinos económicos de la Gerencia de Catastro.</w:t>
      </w:r>
    </w:p>
    <w:p w14:paraId="53C794D2"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Procedimientos catastrales referidos a la Resolución 070 de 2011, los cuales fueron modificados por la Resolución 1040 de 2023.</w:t>
      </w:r>
    </w:p>
    <w:p w14:paraId="2AA52BB6"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Se dispone que las fincas de recreo rurales se consideren predios urbanos para fines del IPU; debe ajustarse a la clasificación por destinos vigente, pues esos predios son habitacionales.</w:t>
      </w:r>
    </w:p>
    <w:p w14:paraId="1D8A9C6B"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En predios con parte urbana y parte rural, se determina la condición urbano/rural desatendiendo la proporción por zonas; se requiere liquidar cada segmento según su avalúo y tarifa correspondiente.</w:t>
      </w:r>
    </w:p>
    <w:p w14:paraId="699F6A4B"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Se contempla una “sanción tarifaria” por uso no autorizado en el POT, lo cual desborda la naturaleza del IPU</w:t>
      </w:r>
    </w:p>
    <w:p w14:paraId="23BDACA5"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Áreas de retiro de vías: se menciona una compensación, pero sin inventario ni reglas operativas claras (identificación, alcance e impacto fiscal).</w:t>
      </w:r>
    </w:p>
    <w:p w14:paraId="3E94F0E9"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Prohibido gravamen: iglesias y demás cultos, bienes de uso público, Juntas de Acción Comunal, estaciones de policía, Cruz Roja, Defensa Civil, cuerpos de bomberos, centros de salud, escuelas y sedes administrativas.</w:t>
      </w:r>
    </w:p>
    <w:p w14:paraId="72EAF29C"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lastRenderedPageBreak/>
        <w:t>Determinación oficial vía factura y cobranzas trimestrales; descuento por pronto pago del 15 % en la primera facturación.</w:t>
      </w:r>
    </w:p>
    <w:p w14:paraId="3A6A2DF4"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Límites del IPU: Ley 1995 y Ley 44 de 1990. No se observan reglas de rezago catastral.</w:t>
      </w:r>
    </w:p>
    <w:p w14:paraId="1671B70B"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Sobretasa ambiental: 1,5 por mil sobre el avalúo.</w:t>
      </w:r>
    </w:p>
    <w:p w14:paraId="2387ECD3"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Tarifas especiales para entidades sindicales y Juntas de Acción Comunal, coexistiendo con exenciones a JAC; se evidencia confusión entre prohibido gravamen, exenciones y tratamientos especiales vía tarifa.</w:t>
      </w:r>
    </w:p>
    <w:p w14:paraId="30952D99" w14:textId="77777777" w:rsidR="00087C16" w:rsidRPr="00087C16" w:rsidRDefault="00087C16" w:rsidP="00087C16">
      <w:pPr>
        <w:numPr>
          <w:ilvl w:val="0"/>
          <w:numId w:val="11"/>
        </w:numPr>
        <w:spacing w:line="360" w:lineRule="auto"/>
        <w:jc w:val="both"/>
        <w:rPr>
          <w:rFonts w:ascii="Aptos" w:hAnsi="Aptos" w:cs="Times New Roman"/>
        </w:rPr>
      </w:pPr>
      <w:r w:rsidRPr="00087C16">
        <w:rPr>
          <w:rFonts w:ascii="Aptos" w:hAnsi="Aptos" w:cs="Times New Roman"/>
        </w:rPr>
        <w:t>Alumbrado público y Sobretasa Bomberil: el acuerdo presenta inconsistencias (p. ej., mención a “cobrarán el impuesto predial” en alumbrado sin tarifa definida ni base clara; y en bomberil se fija como hecho generador ser contribuyente del IPU pero base/tarifa refieren al ICA). Ello impide una liquidación clara y exigible.</w:t>
      </w:r>
    </w:p>
    <w:p w14:paraId="66032357" w14:textId="77777777" w:rsidR="00087C16" w:rsidRPr="00087C16" w:rsidRDefault="00087C16" w:rsidP="00087C16">
      <w:pPr>
        <w:numPr>
          <w:ilvl w:val="0"/>
          <w:numId w:val="12"/>
        </w:numPr>
        <w:spacing w:line="360" w:lineRule="auto"/>
        <w:jc w:val="both"/>
        <w:rPr>
          <w:rFonts w:ascii="Aptos" w:hAnsi="Aptos" w:cs="Times New Roman"/>
        </w:rPr>
      </w:pPr>
      <w:r w:rsidRPr="00087C16">
        <w:rPr>
          <w:rFonts w:ascii="Aptos" w:hAnsi="Aptos" w:cs="Times New Roman"/>
        </w:rPr>
        <w:t>Predios destinados a fines de conservación/protección (hoyas, laderas, conducción de aguas, fauna y flora) y predios de Corporaciones Autónomas Regionales cuentan con exenciones; se requiere precisión operativa (documentos habilitantes, autoridad certificadora, vigencia y verificación) para su aplicación correcta en la base y la tarifa del IPU.</w:t>
      </w:r>
    </w:p>
    <w:p w14:paraId="216FBBDD" w14:textId="77777777" w:rsidR="00087C16" w:rsidRPr="00087C16" w:rsidRDefault="00087C16" w:rsidP="00087C16">
      <w:pPr>
        <w:spacing w:line="360" w:lineRule="auto"/>
        <w:jc w:val="both"/>
        <w:rPr>
          <w:rFonts w:ascii="Aptos" w:hAnsi="Aptos" w:cs="Times New Roman"/>
          <w:b/>
          <w:bCs/>
          <w:sz w:val="32"/>
          <w:szCs w:val="32"/>
        </w:rPr>
      </w:pPr>
      <w:r w:rsidRPr="00087C16">
        <w:rPr>
          <w:rFonts w:ascii="Aptos" w:hAnsi="Aptos" w:cs="Times New Roman"/>
          <w:b/>
          <w:bCs/>
          <w:sz w:val="32"/>
          <w:szCs w:val="32"/>
        </w:rPr>
        <w:t>Recomendaciones</w:t>
      </w:r>
    </w:p>
    <w:p w14:paraId="5686DF68" w14:textId="77777777" w:rsidR="00087C16" w:rsidRPr="00087C16" w:rsidRDefault="00087C16" w:rsidP="00087C16">
      <w:pPr>
        <w:numPr>
          <w:ilvl w:val="0"/>
          <w:numId w:val="13"/>
        </w:numPr>
        <w:spacing w:line="360" w:lineRule="auto"/>
        <w:jc w:val="both"/>
        <w:rPr>
          <w:rFonts w:ascii="Aptos" w:hAnsi="Aptos" w:cs="Times New Roman"/>
        </w:rPr>
      </w:pPr>
      <w:r w:rsidRPr="00087C16">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0F35759F" w14:textId="77777777" w:rsidR="00087C16" w:rsidRPr="00087C16" w:rsidRDefault="00087C16" w:rsidP="00087C16">
      <w:pPr>
        <w:numPr>
          <w:ilvl w:val="0"/>
          <w:numId w:val="13"/>
        </w:numPr>
        <w:spacing w:line="360" w:lineRule="auto"/>
        <w:jc w:val="both"/>
        <w:rPr>
          <w:rFonts w:ascii="Aptos" w:hAnsi="Aptos" w:cs="Times New Roman"/>
        </w:rPr>
      </w:pPr>
      <w:r w:rsidRPr="00087C16">
        <w:rPr>
          <w:rFonts w:ascii="Aptos" w:hAnsi="Aptos" w:cs="Times New Roman"/>
        </w:rPr>
        <w:t>Actualizar los procedimientos catastrales y referencias técnicas del acuerdo, sustituyendo la Resolución 070 de 2011 por la Resolución 1040 de 2023.</w:t>
      </w:r>
    </w:p>
    <w:p w14:paraId="10EE0A44" w14:textId="77777777" w:rsidR="00087C16" w:rsidRPr="00087C16" w:rsidRDefault="00087C16" w:rsidP="00087C16">
      <w:pPr>
        <w:numPr>
          <w:ilvl w:val="0"/>
          <w:numId w:val="13"/>
        </w:numPr>
        <w:spacing w:line="360" w:lineRule="auto"/>
        <w:jc w:val="both"/>
        <w:rPr>
          <w:rFonts w:ascii="Aptos" w:hAnsi="Aptos" w:cs="Times New Roman"/>
        </w:rPr>
      </w:pPr>
      <w:r w:rsidRPr="00087C16">
        <w:rPr>
          <w:rFonts w:ascii="Aptos" w:hAnsi="Aptos" w:cs="Times New Roman"/>
        </w:rPr>
        <w:t xml:space="preserve">Ajustar la clasificación de fincas de recreo rurales de la clasificación de destino de predio urbano a habitacional bajo la matriz </w:t>
      </w:r>
    </w:p>
    <w:p w14:paraId="170C7A58" w14:textId="77777777" w:rsidR="00087C16" w:rsidRPr="00087C16" w:rsidRDefault="00087C16" w:rsidP="00087C16">
      <w:pPr>
        <w:numPr>
          <w:ilvl w:val="0"/>
          <w:numId w:val="13"/>
        </w:numPr>
        <w:spacing w:line="360" w:lineRule="auto"/>
        <w:jc w:val="both"/>
        <w:rPr>
          <w:rFonts w:ascii="Aptos" w:hAnsi="Aptos" w:cs="Times New Roman"/>
        </w:rPr>
      </w:pPr>
      <w:r w:rsidRPr="00087C16">
        <w:rPr>
          <w:rFonts w:ascii="Aptos" w:hAnsi="Aptos" w:cs="Times New Roman"/>
        </w:rPr>
        <w:t>corregir la metodología para predios mixtos (urbano/rural): avalúo por zonas y tarifa según condición de cada segmento.</w:t>
      </w:r>
    </w:p>
    <w:p w14:paraId="54BE38D1" w14:textId="77777777" w:rsidR="00087C16" w:rsidRPr="00087C16" w:rsidRDefault="00087C16" w:rsidP="00087C16">
      <w:pPr>
        <w:numPr>
          <w:ilvl w:val="0"/>
          <w:numId w:val="13"/>
        </w:numPr>
        <w:spacing w:line="360" w:lineRule="auto"/>
        <w:jc w:val="both"/>
        <w:rPr>
          <w:rFonts w:ascii="Aptos" w:hAnsi="Aptos" w:cs="Times New Roman"/>
        </w:rPr>
      </w:pPr>
      <w:r w:rsidRPr="00087C16">
        <w:rPr>
          <w:rFonts w:ascii="Aptos" w:hAnsi="Aptos" w:cs="Times New Roman"/>
        </w:rPr>
        <w:lastRenderedPageBreak/>
        <w:t>Eliminar la sanción tarifaria por uso no autorizado en el POT, ya que desnaturaliza el IPU.</w:t>
      </w:r>
    </w:p>
    <w:p w14:paraId="20968245" w14:textId="77777777" w:rsidR="00087C16" w:rsidRPr="00087C16" w:rsidRDefault="00087C16" w:rsidP="00087C16">
      <w:pPr>
        <w:numPr>
          <w:ilvl w:val="0"/>
          <w:numId w:val="13"/>
        </w:numPr>
        <w:spacing w:line="360" w:lineRule="auto"/>
        <w:jc w:val="both"/>
        <w:rPr>
          <w:rFonts w:ascii="Aptos" w:hAnsi="Aptos" w:cs="Times New Roman"/>
        </w:rPr>
      </w:pPr>
      <w:r w:rsidRPr="00087C16">
        <w:rPr>
          <w:rFonts w:ascii="Aptos" w:hAnsi="Aptos" w:cs="Times New Roman"/>
        </w:rPr>
        <w:t>Regular el tratamiento de áreas de retiro de vías: elaborar inventario y definir criterios, alcances e impacto fiscal en la liquidación del IPU.</w:t>
      </w:r>
    </w:p>
    <w:p w14:paraId="49104A76" w14:textId="77777777" w:rsidR="00087C16" w:rsidRPr="00087C16" w:rsidRDefault="00087C16" w:rsidP="00087C16">
      <w:pPr>
        <w:numPr>
          <w:ilvl w:val="0"/>
          <w:numId w:val="13"/>
        </w:numPr>
        <w:spacing w:line="360" w:lineRule="auto"/>
        <w:jc w:val="both"/>
        <w:rPr>
          <w:rFonts w:ascii="Aptos" w:hAnsi="Aptos" w:cs="Times New Roman"/>
        </w:rPr>
      </w:pPr>
      <w:r w:rsidRPr="00087C16">
        <w:rPr>
          <w:rFonts w:ascii="Aptos" w:hAnsi="Aptos" w:cs="Times New Roman"/>
        </w:rPr>
        <w:t>Clarificar y depurar el catálogo de prohibido gravamen, exenciones y tratamientos especiales vía tarifa (incluidas JAC y entidades sindicales), fijando requisitos, vigencia y procedimientos para evitar solapamientos.</w:t>
      </w:r>
    </w:p>
    <w:p w14:paraId="11056FF4" w14:textId="77777777" w:rsidR="00087C16" w:rsidRPr="00087C16" w:rsidRDefault="00087C16" w:rsidP="00087C16">
      <w:pPr>
        <w:numPr>
          <w:ilvl w:val="0"/>
          <w:numId w:val="13"/>
        </w:numPr>
        <w:spacing w:line="360" w:lineRule="auto"/>
        <w:jc w:val="both"/>
        <w:rPr>
          <w:rFonts w:ascii="Aptos" w:hAnsi="Aptos" w:cs="Times New Roman"/>
        </w:rPr>
      </w:pPr>
      <w:r w:rsidRPr="00087C16">
        <w:rPr>
          <w:rFonts w:ascii="Aptos" w:hAnsi="Aptos" w:cs="Times New Roman"/>
        </w:rPr>
        <w:t>Corregir las inconsistencias en alumbrado público (definir sujeto, hecho generador, base y tarifa; precisar si aplica o no el avalúo como base) y en Sobretasa Bomberil (alinear hecho generador, base y tarifa al tributo correcto, sin remisiones al ICA si el hecho es el IPU).</w:t>
      </w:r>
    </w:p>
    <w:p w14:paraId="18A4AA60" w14:textId="77777777" w:rsidR="00087C16" w:rsidRPr="00087C16" w:rsidRDefault="00087C16" w:rsidP="00087C16">
      <w:pPr>
        <w:numPr>
          <w:ilvl w:val="0"/>
          <w:numId w:val="13"/>
        </w:numPr>
        <w:spacing w:line="360" w:lineRule="auto"/>
        <w:jc w:val="both"/>
        <w:rPr>
          <w:rFonts w:ascii="Aptos" w:hAnsi="Aptos" w:cs="Times New Roman"/>
        </w:rPr>
      </w:pPr>
      <w:r w:rsidRPr="00087C16">
        <w:rPr>
          <w:rFonts w:ascii="Aptos" w:hAnsi="Aptos" w:cs="Times New Roman"/>
        </w:rPr>
        <w:t>Definir límites y reglas de gradualidad por rezago catastral, con topes anuales, metodología y transiciones, articuladas con los límites de la Ley 44 de 1990 y la Ley 1995.</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5373D" w14:textId="77777777" w:rsidR="00656CE7" w:rsidRDefault="00656CE7" w:rsidP="00707E60">
      <w:pPr>
        <w:spacing w:after="0" w:line="240" w:lineRule="auto"/>
      </w:pPr>
      <w:r>
        <w:separator/>
      </w:r>
    </w:p>
  </w:endnote>
  <w:endnote w:type="continuationSeparator" w:id="0">
    <w:p w14:paraId="72A7870A" w14:textId="77777777" w:rsidR="00656CE7" w:rsidRDefault="00656CE7"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50F46" w14:textId="77777777" w:rsidR="00656CE7" w:rsidRDefault="00656CE7" w:rsidP="00707E60">
      <w:pPr>
        <w:spacing w:after="0" w:line="240" w:lineRule="auto"/>
      </w:pPr>
      <w:r>
        <w:separator/>
      </w:r>
    </w:p>
  </w:footnote>
  <w:footnote w:type="continuationSeparator" w:id="0">
    <w:p w14:paraId="2BCAC7C8" w14:textId="77777777" w:rsidR="00656CE7" w:rsidRDefault="00656CE7"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477290E"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87C16">
                            <w:rPr>
                              <w:color w:val="000000" w:themeColor="text1"/>
                              <w:sz w:val="28"/>
                              <w:szCs w:val="28"/>
                            </w:rPr>
                            <w:t>Cañasgordas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477290E"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087C16">
                      <w:rPr>
                        <w:color w:val="000000" w:themeColor="text1"/>
                        <w:sz w:val="28"/>
                        <w:szCs w:val="28"/>
                      </w:rPr>
                      <w:t>Cañasgordas</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B14A8"/>
    <w:multiLevelType w:val="multilevel"/>
    <w:tmpl w:val="2C22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C7C0D"/>
    <w:multiLevelType w:val="multilevel"/>
    <w:tmpl w:val="AA56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25BA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086842"/>
    <w:multiLevelType w:val="multilevel"/>
    <w:tmpl w:val="E240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6A27F7"/>
    <w:multiLevelType w:val="multilevel"/>
    <w:tmpl w:val="BAE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CE0E1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246065"/>
    <w:multiLevelType w:val="multilevel"/>
    <w:tmpl w:val="AD1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9C7F00"/>
    <w:multiLevelType w:val="multilevel"/>
    <w:tmpl w:val="F27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E3568"/>
    <w:multiLevelType w:val="multilevel"/>
    <w:tmpl w:val="412C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704">
    <w:abstractNumId w:val="5"/>
  </w:num>
  <w:num w:numId="2" w16cid:durableId="1017347282">
    <w:abstractNumId w:val="7"/>
  </w:num>
  <w:num w:numId="3" w16cid:durableId="44450645">
    <w:abstractNumId w:val="9"/>
  </w:num>
  <w:num w:numId="4" w16cid:durableId="1953855267">
    <w:abstractNumId w:val="0"/>
  </w:num>
  <w:num w:numId="5" w16cid:durableId="1281302291">
    <w:abstractNumId w:val="3"/>
  </w:num>
  <w:num w:numId="6" w16cid:durableId="198319745">
    <w:abstractNumId w:val="8"/>
  </w:num>
  <w:num w:numId="7" w16cid:durableId="1222793921">
    <w:abstractNumId w:val="1"/>
  </w:num>
  <w:num w:numId="8" w16cid:durableId="1663466582">
    <w:abstractNumId w:val="10"/>
  </w:num>
  <w:num w:numId="9" w16cid:durableId="1601404175">
    <w:abstractNumId w:val="12"/>
  </w:num>
  <w:num w:numId="10" w16cid:durableId="1696037023">
    <w:abstractNumId w:val="11"/>
  </w:num>
  <w:num w:numId="11" w16cid:durableId="1726874531">
    <w:abstractNumId w:val="2"/>
  </w:num>
  <w:num w:numId="12" w16cid:durableId="1308511851">
    <w:abstractNumId w:val="6"/>
  </w:num>
  <w:num w:numId="13" w16cid:durableId="470710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087C16"/>
    <w:rsid w:val="000C2026"/>
    <w:rsid w:val="00120797"/>
    <w:rsid w:val="00134527"/>
    <w:rsid w:val="0016665C"/>
    <w:rsid w:val="001B556D"/>
    <w:rsid w:val="00211E44"/>
    <w:rsid w:val="0023618C"/>
    <w:rsid w:val="003650D0"/>
    <w:rsid w:val="003A7CEA"/>
    <w:rsid w:val="003E2241"/>
    <w:rsid w:val="004107CA"/>
    <w:rsid w:val="005422DF"/>
    <w:rsid w:val="005D08ED"/>
    <w:rsid w:val="005F7A75"/>
    <w:rsid w:val="00605B4C"/>
    <w:rsid w:val="00656CE7"/>
    <w:rsid w:val="00665846"/>
    <w:rsid w:val="006A249B"/>
    <w:rsid w:val="00707E60"/>
    <w:rsid w:val="00745C46"/>
    <w:rsid w:val="00813F67"/>
    <w:rsid w:val="00844CC8"/>
    <w:rsid w:val="00845F02"/>
    <w:rsid w:val="00852ADC"/>
    <w:rsid w:val="00855468"/>
    <w:rsid w:val="009D1F9E"/>
    <w:rsid w:val="00A27409"/>
    <w:rsid w:val="00A407A7"/>
    <w:rsid w:val="00A55C9A"/>
    <w:rsid w:val="00A60686"/>
    <w:rsid w:val="00A96461"/>
    <w:rsid w:val="00AA7DD4"/>
    <w:rsid w:val="00BC7035"/>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8</cp:revision>
  <dcterms:created xsi:type="dcterms:W3CDTF">2025-10-23T17:12:00Z</dcterms:created>
  <dcterms:modified xsi:type="dcterms:W3CDTF">2025-10-24T18:42:00Z</dcterms:modified>
</cp:coreProperties>
</file>