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331B5A64"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794C3B">
        <w:rPr>
          <w:color w:val="000000" w:themeColor="text1"/>
          <w:sz w:val="44"/>
          <w:szCs w:val="44"/>
        </w:rPr>
        <w:t>Chigorodó</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056925D9" w14:textId="77777777" w:rsidR="005C62D3" w:rsidRPr="005C62D3" w:rsidRDefault="005C62D3" w:rsidP="005C62D3">
      <w:pPr>
        <w:spacing w:line="360" w:lineRule="auto"/>
        <w:rPr>
          <w:rFonts w:ascii="Aptos" w:hAnsi="Aptos" w:cs="Times New Roman"/>
        </w:rPr>
      </w:pPr>
      <w:r w:rsidRPr="005C62D3">
        <w:rPr>
          <w:rFonts w:ascii="Aptos" w:hAnsi="Aptos" w:cs="Times New Roman"/>
        </w:rPr>
        <w:lastRenderedPageBreak/>
        <w:t>El estado actual de su normatividad tributaria se establece en el Acuerdo 08 de 2021.</w:t>
      </w:r>
    </w:p>
    <w:p w14:paraId="2DDDAC4E" w14:textId="77777777" w:rsidR="005C62D3" w:rsidRPr="005C62D3" w:rsidRDefault="005C62D3" w:rsidP="005C62D3">
      <w:pPr>
        <w:spacing w:line="360" w:lineRule="auto"/>
        <w:jc w:val="both"/>
        <w:rPr>
          <w:rFonts w:ascii="Aptos" w:hAnsi="Aptos" w:cs="Times New Roman"/>
          <w:b/>
          <w:bCs/>
          <w:sz w:val="32"/>
          <w:szCs w:val="32"/>
        </w:rPr>
      </w:pPr>
      <w:r w:rsidRPr="005C62D3">
        <w:rPr>
          <w:rFonts w:ascii="Aptos" w:hAnsi="Aptos" w:cs="Times New Roman"/>
          <w:b/>
          <w:bCs/>
          <w:sz w:val="32"/>
          <w:szCs w:val="32"/>
        </w:rPr>
        <w:t>Hallazgos</w:t>
      </w:r>
    </w:p>
    <w:p w14:paraId="2C280833" w14:textId="77777777" w:rsidR="005C62D3" w:rsidRPr="005C62D3" w:rsidRDefault="005C62D3" w:rsidP="005C62D3">
      <w:pPr>
        <w:numPr>
          <w:ilvl w:val="0"/>
          <w:numId w:val="29"/>
        </w:numPr>
        <w:spacing w:line="360" w:lineRule="auto"/>
        <w:jc w:val="both"/>
        <w:rPr>
          <w:rFonts w:ascii="Aptos" w:hAnsi="Aptos" w:cs="Times New Roman"/>
        </w:rPr>
      </w:pPr>
      <w:r w:rsidRPr="005C62D3">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16CF5A88" w14:textId="77777777" w:rsidR="005C62D3" w:rsidRPr="005C62D3" w:rsidRDefault="005C62D3" w:rsidP="005C62D3">
      <w:pPr>
        <w:numPr>
          <w:ilvl w:val="0"/>
          <w:numId w:val="29"/>
        </w:numPr>
        <w:spacing w:line="360" w:lineRule="auto"/>
        <w:jc w:val="both"/>
        <w:rPr>
          <w:rFonts w:ascii="Aptos" w:hAnsi="Aptos" w:cs="Times New Roman"/>
        </w:rPr>
      </w:pPr>
      <w:r w:rsidRPr="005C62D3">
        <w:rPr>
          <w:rFonts w:ascii="Aptos" w:hAnsi="Aptos" w:cs="Times New Roman"/>
        </w:rPr>
        <w:t>La matriz tarifaria del IPU está estructurada por destinación económica y rangos de avalúo, con bandas generales entre 5‰ y hasta 33‰ para lotes urbanizables no urbanizados y urbanizados no edificados.</w:t>
      </w:r>
    </w:p>
    <w:p w14:paraId="2BD0CA41" w14:textId="77777777" w:rsidR="005C62D3" w:rsidRPr="005C62D3" w:rsidRDefault="005C62D3" w:rsidP="005C62D3">
      <w:pPr>
        <w:numPr>
          <w:ilvl w:val="0"/>
          <w:numId w:val="29"/>
        </w:numPr>
        <w:spacing w:line="360" w:lineRule="auto"/>
        <w:jc w:val="both"/>
        <w:rPr>
          <w:rFonts w:ascii="Aptos" w:hAnsi="Aptos" w:cs="Times New Roman"/>
        </w:rPr>
      </w:pPr>
      <w:r w:rsidRPr="005C62D3">
        <w:rPr>
          <w:rFonts w:ascii="Aptos" w:hAnsi="Aptos" w:cs="Times New Roman"/>
        </w:rPr>
        <w:t>Se fija una tarifa especial de 2‰ para inmuebles en zonas de alto riesgo; esta tarifa preferencial requiere verificación de su concordancia con los mínimos y criterios de progresividad definidos por la normativa nacional, así como reglas técnicas para su activación (cartografía oficial, acto de declaratoria de riesgo, vigencia y pérdida de la condición).</w:t>
      </w:r>
    </w:p>
    <w:p w14:paraId="03EBF7F5" w14:textId="77777777" w:rsidR="005C62D3" w:rsidRPr="005C62D3" w:rsidRDefault="005C62D3" w:rsidP="005C62D3">
      <w:pPr>
        <w:numPr>
          <w:ilvl w:val="0"/>
          <w:numId w:val="29"/>
        </w:numPr>
        <w:spacing w:line="360" w:lineRule="auto"/>
        <w:jc w:val="both"/>
        <w:rPr>
          <w:rFonts w:ascii="Aptos" w:hAnsi="Aptos" w:cs="Times New Roman"/>
        </w:rPr>
      </w:pPr>
      <w:r w:rsidRPr="005C62D3">
        <w:rPr>
          <w:rFonts w:ascii="Aptos" w:hAnsi="Aptos" w:cs="Times New Roman"/>
        </w:rPr>
        <w:t>El régimen de límites de incremento declara la adopción de los parámetros de la Ley 1995 de 2019, pero no diferencia explícitamente escenarios de actualización versus rezago catastral, ni despliega un esquema de transición plurianual que integre topes, gradualidad y excepciones; esto puede generar choques normativos e incertidumbre operativa.</w:t>
      </w:r>
    </w:p>
    <w:p w14:paraId="0E942B67" w14:textId="77777777" w:rsidR="005C62D3" w:rsidRPr="005C62D3" w:rsidRDefault="005C62D3" w:rsidP="005C62D3">
      <w:pPr>
        <w:numPr>
          <w:ilvl w:val="0"/>
          <w:numId w:val="29"/>
        </w:numPr>
        <w:spacing w:line="360" w:lineRule="auto"/>
        <w:jc w:val="both"/>
        <w:rPr>
          <w:rFonts w:ascii="Aptos" w:hAnsi="Aptos" w:cs="Times New Roman"/>
        </w:rPr>
      </w:pPr>
      <w:r w:rsidRPr="005C62D3">
        <w:rPr>
          <w:rFonts w:ascii="Aptos" w:hAnsi="Aptos" w:cs="Times New Roman"/>
        </w:rPr>
        <w:t>La determinación por factura se concibe con mérito ejecutivo; sin embargo, el procedimiento de notificación mezcla mecanismos que incluyen remisión por correo electrónico, sin una habilitación robusta de domicilio electrónico ni un protocolo claro de notificación por aviso y publicación, lo que expone a nulidades por notificación irregular.</w:t>
      </w:r>
    </w:p>
    <w:p w14:paraId="6551C723" w14:textId="77777777" w:rsidR="005C62D3" w:rsidRPr="005C62D3" w:rsidRDefault="005C62D3" w:rsidP="005C62D3">
      <w:pPr>
        <w:numPr>
          <w:ilvl w:val="0"/>
          <w:numId w:val="29"/>
        </w:numPr>
        <w:spacing w:line="360" w:lineRule="auto"/>
        <w:jc w:val="both"/>
        <w:rPr>
          <w:rFonts w:ascii="Aptos" w:hAnsi="Aptos" w:cs="Times New Roman"/>
        </w:rPr>
      </w:pPr>
      <w:r w:rsidRPr="005C62D3">
        <w:rPr>
          <w:rFonts w:ascii="Aptos" w:hAnsi="Aptos" w:cs="Times New Roman"/>
        </w:rPr>
        <w:t>Se prevé pago en cuatro cuotas trimestrales, además de figuras de pronto pago y “abonos anticipados” con descuento de hasta el 20% dentro de la misma vigencia; el incentivo, sin estimación de costo fiscal ni reglas de incompatibilidad, puede distorsionar el recaudo efectivo y afectar la medición de los indicadores fiscales (p. ej., marco Ley 617) si no se controla su impacto presupuestal.</w:t>
      </w:r>
    </w:p>
    <w:p w14:paraId="0D5176D0" w14:textId="77777777" w:rsidR="005C62D3" w:rsidRPr="005C62D3" w:rsidRDefault="005C62D3" w:rsidP="005C62D3">
      <w:pPr>
        <w:numPr>
          <w:ilvl w:val="0"/>
          <w:numId w:val="29"/>
        </w:numPr>
        <w:spacing w:line="360" w:lineRule="auto"/>
        <w:jc w:val="both"/>
        <w:rPr>
          <w:rFonts w:ascii="Aptos" w:hAnsi="Aptos" w:cs="Times New Roman"/>
        </w:rPr>
      </w:pPr>
      <w:r w:rsidRPr="005C62D3">
        <w:rPr>
          <w:rFonts w:ascii="Aptos" w:hAnsi="Aptos" w:cs="Times New Roman"/>
        </w:rPr>
        <w:t xml:space="preserve">La sobretasa ambiental se fija en 1,5‰ </w:t>
      </w:r>
    </w:p>
    <w:p w14:paraId="0947CF06" w14:textId="77777777" w:rsidR="005C62D3" w:rsidRPr="005C62D3" w:rsidRDefault="005C62D3" w:rsidP="005C62D3">
      <w:pPr>
        <w:numPr>
          <w:ilvl w:val="0"/>
          <w:numId w:val="29"/>
        </w:numPr>
        <w:spacing w:line="360" w:lineRule="auto"/>
        <w:jc w:val="both"/>
        <w:rPr>
          <w:rFonts w:ascii="Aptos" w:hAnsi="Aptos" w:cs="Times New Roman"/>
        </w:rPr>
      </w:pPr>
      <w:r w:rsidRPr="005C62D3">
        <w:rPr>
          <w:rFonts w:ascii="Aptos" w:hAnsi="Aptos" w:cs="Times New Roman"/>
        </w:rPr>
        <w:lastRenderedPageBreak/>
        <w:t>Se regulan inmuebles de prohibido gravamen (p. ej., bienes públicos de uso público, fuerza pública, culto) junto con exenciones y beneficios sectoriales (culturales, conservación botánica, etc.), sin un procedimiento unificado de solicitud, certificación, vigencia, verificación anual de requisitos y causales de pérdida; esto facilita la erosión de la base gravable.</w:t>
      </w:r>
    </w:p>
    <w:p w14:paraId="22DDDB45" w14:textId="77777777" w:rsidR="005C62D3" w:rsidRPr="005C62D3" w:rsidRDefault="005C62D3" w:rsidP="005C62D3">
      <w:pPr>
        <w:numPr>
          <w:ilvl w:val="0"/>
          <w:numId w:val="29"/>
        </w:numPr>
        <w:spacing w:line="360" w:lineRule="auto"/>
        <w:jc w:val="both"/>
        <w:rPr>
          <w:rFonts w:ascii="Aptos" w:hAnsi="Aptos" w:cs="Times New Roman"/>
        </w:rPr>
      </w:pPr>
      <w:r w:rsidRPr="005C62D3">
        <w:rPr>
          <w:rFonts w:ascii="Aptos" w:hAnsi="Aptos" w:cs="Times New Roman"/>
        </w:rPr>
        <w:t>Se establece una “sobretasa bomberil” del 0,7‰ sobre el avalúo.</w:t>
      </w:r>
    </w:p>
    <w:p w14:paraId="3431A17C" w14:textId="77777777" w:rsidR="005C62D3" w:rsidRPr="005C62D3" w:rsidRDefault="005C62D3" w:rsidP="005C62D3">
      <w:pPr>
        <w:numPr>
          <w:ilvl w:val="0"/>
          <w:numId w:val="29"/>
        </w:numPr>
        <w:spacing w:line="360" w:lineRule="auto"/>
        <w:jc w:val="both"/>
        <w:rPr>
          <w:rFonts w:ascii="Aptos" w:hAnsi="Aptos" w:cs="Times New Roman"/>
        </w:rPr>
      </w:pPr>
      <w:r w:rsidRPr="005C62D3">
        <w:rPr>
          <w:rFonts w:ascii="Aptos" w:hAnsi="Aptos" w:cs="Times New Roman"/>
        </w:rPr>
        <w:t>El componente de alumbrado público se fija como 1‰ sobre avalúo; el diseño basado en avalúo es especialmente sensible a control de legalidad/regulatorio y debe alinearse con el marco sectorial vigente (metodologías regulatorias y criterios de costo del servicio), evitando convertirlo en un recargo del IPU.</w:t>
      </w:r>
    </w:p>
    <w:p w14:paraId="6F0CED75" w14:textId="77777777" w:rsidR="005C62D3" w:rsidRPr="005C62D3" w:rsidRDefault="005C62D3" w:rsidP="005C62D3">
      <w:pPr>
        <w:numPr>
          <w:ilvl w:val="0"/>
          <w:numId w:val="29"/>
        </w:numPr>
        <w:spacing w:line="360" w:lineRule="auto"/>
        <w:jc w:val="both"/>
        <w:rPr>
          <w:rFonts w:ascii="Aptos" w:hAnsi="Aptos" w:cs="Times New Roman"/>
        </w:rPr>
      </w:pPr>
      <w:r w:rsidRPr="005C62D3">
        <w:rPr>
          <w:rFonts w:ascii="Aptos" w:hAnsi="Aptos" w:cs="Times New Roman"/>
        </w:rPr>
        <w:t>Beneficios, exenciones y prohibiciones con enfoque ambiental y uso del suelo: existen descuentos por conservación de bosques, fuentes hídricas y cultivos, así como exclusiones por parques naturales y bienes públicos; falta cartografía oficial de delimitación, certificaciones ambientales específicas, control del costo fiscal y reglas de incompatibilidad con otros beneficios.</w:t>
      </w:r>
    </w:p>
    <w:p w14:paraId="5DFE926B" w14:textId="77777777" w:rsidR="005C62D3" w:rsidRPr="005C62D3" w:rsidRDefault="005C62D3" w:rsidP="005C62D3">
      <w:pPr>
        <w:spacing w:line="360" w:lineRule="auto"/>
        <w:jc w:val="both"/>
        <w:rPr>
          <w:rFonts w:ascii="Aptos" w:hAnsi="Aptos" w:cs="Times New Roman"/>
          <w:b/>
          <w:bCs/>
          <w:sz w:val="32"/>
          <w:szCs w:val="32"/>
        </w:rPr>
      </w:pPr>
      <w:r w:rsidRPr="005C62D3">
        <w:rPr>
          <w:rFonts w:ascii="Aptos" w:hAnsi="Aptos" w:cs="Times New Roman"/>
          <w:b/>
          <w:bCs/>
          <w:sz w:val="32"/>
          <w:szCs w:val="32"/>
        </w:rPr>
        <w:t>Recomendaciones</w:t>
      </w:r>
    </w:p>
    <w:p w14:paraId="0A4408E3" w14:textId="77777777" w:rsidR="005C62D3" w:rsidRPr="005C62D3" w:rsidRDefault="005C62D3" w:rsidP="005C62D3">
      <w:pPr>
        <w:numPr>
          <w:ilvl w:val="0"/>
          <w:numId w:val="30"/>
        </w:numPr>
        <w:spacing w:line="360" w:lineRule="auto"/>
        <w:jc w:val="both"/>
        <w:rPr>
          <w:rFonts w:ascii="Aptos" w:hAnsi="Aptos" w:cs="Times New Roman"/>
        </w:rPr>
      </w:pPr>
      <w:r w:rsidRPr="005C62D3">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6F15A329" w14:textId="77777777" w:rsidR="005C62D3" w:rsidRPr="005C62D3" w:rsidRDefault="005C62D3" w:rsidP="005C62D3">
      <w:pPr>
        <w:numPr>
          <w:ilvl w:val="0"/>
          <w:numId w:val="30"/>
        </w:numPr>
        <w:spacing w:line="360" w:lineRule="auto"/>
        <w:jc w:val="both"/>
        <w:rPr>
          <w:rFonts w:ascii="Aptos" w:hAnsi="Aptos" w:cs="Times New Roman"/>
        </w:rPr>
      </w:pPr>
      <w:r w:rsidRPr="005C62D3">
        <w:rPr>
          <w:rFonts w:ascii="Aptos" w:hAnsi="Aptos" w:cs="Times New Roman"/>
        </w:rPr>
        <w:t>Revisar la tarifa especial de 2‰ para alto riesgo bajo criterios de legalidad y progresividad: condicionarla a declaratoria técnica y cartográfica vigente, precisar activación y pérdida de la condición, y validar su consistencia con los límites nacionales aplicables; en ausencia de soporte, reemplazar por un esquema objetivo de alivio transitorio no tarifario (p. ej., descuento condicionado a mitigación).</w:t>
      </w:r>
    </w:p>
    <w:p w14:paraId="2C214CAA" w14:textId="77777777" w:rsidR="005C62D3" w:rsidRPr="005C62D3" w:rsidRDefault="005C62D3" w:rsidP="005C62D3">
      <w:pPr>
        <w:numPr>
          <w:ilvl w:val="0"/>
          <w:numId w:val="30"/>
        </w:numPr>
        <w:spacing w:line="360" w:lineRule="auto"/>
        <w:jc w:val="both"/>
        <w:rPr>
          <w:rFonts w:ascii="Aptos" w:hAnsi="Aptos" w:cs="Times New Roman"/>
        </w:rPr>
      </w:pPr>
      <w:r w:rsidRPr="005C62D3">
        <w:rPr>
          <w:rFonts w:ascii="Aptos" w:hAnsi="Aptos" w:cs="Times New Roman"/>
        </w:rPr>
        <w:t>Incorporar límites y un esquema de transición/gradualidad para procesos de actualización y rezago catastral y de igual manera aplicar estas limitantes a las sobretasas atadas al IPU o al avaluó catastral .</w:t>
      </w:r>
    </w:p>
    <w:p w14:paraId="1486D779" w14:textId="77777777" w:rsidR="005C62D3" w:rsidRPr="005C62D3" w:rsidRDefault="005C62D3" w:rsidP="005C62D3">
      <w:pPr>
        <w:numPr>
          <w:ilvl w:val="0"/>
          <w:numId w:val="30"/>
        </w:numPr>
        <w:spacing w:line="360" w:lineRule="auto"/>
        <w:jc w:val="both"/>
        <w:rPr>
          <w:rFonts w:ascii="Aptos" w:hAnsi="Aptos" w:cs="Times New Roman"/>
        </w:rPr>
      </w:pPr>
      <w:r w:rsidRPr="005C62D3">
        <w:rPr>
          <w:rFonts w:ascii="Aptos" w:hAnsi="Aptos" w:cs="Times New Roman"/>
        </w:rPr>
        <w:lastRenderedPageBreak/>
        <w:t>Fortalecer la determinación por factura y su notificación: adoptar domicilio electrónico mediante acto específico cuando se pretenda usar correo electrónico; en su defecto, aplicar notificación por aviso y publicación con constancias y archivo probatorio; definir contenido mínimo de la factura, evidencias y cadena de custodia para sustentar el mérito ejecutivo.</w:t>
      </w:r>
    </w:p>
    <w:p w14:paraId="1404FBE6" w14:textId="77777777" w:rsidR="005C62D3" w:rsidRPr="005C62D3" w:rsidRDefault="005C62D3" w:rsidP="005C62D3">
      <w:pPr>
        <w:numPr>
          <w:ilvl w:val="0"/>
          <w:numId w:val="30"/>
        </w:numPr>
        <w:spacing w:line="360" w:lineRule="auto"/>
        <w:jc w:val="both"/>
        <w:rPr>
          <w:rFonts w:ascii="Aptos" w:hAnsi="Aptos" w:cs="Times New Roman"/>
        </w:rPr>
      </w:pPr>
      <w:r w:rsidRPr="005C62D3">
        <w:rPr>
          <w:rFonts w:ascii="Aptos" w:hAnsi="Aptos" w:cs="Times New Roman"/>
        </w:rPr>
        <w:t>Cuantificar el costo fiscal del pronto pago y los “abonos anticipados”, fijar topes de descuento, reportar su impacto en recaudo y sostenibilidad fiscal para no afectar la lectura de los indicadores del régimen de responsabilidad fiscal territorial.</w:t>
      </w:r>
    </w:p>
    <w:p w14:paraId="1E407036" w14:textId="77777777" w:rsidR="005C62D3" w:rsidRPr="005C62D3" w:rsidRDefault="005C62D3" w:rsidP="005C62D3">
      <w:pPr>
        <w:numPr>
          <w:ilvl w:val="0"/>
          <w:numId w:val="30"/>
        </w:numPr>
        <w:spacing w:line="360" w:lineRule="auto"/>
        <w:jc w:val="both"/>
        <w:rPr>
          <w:rFonts w:ascii="Aptos" w:hAnsi="Aptos" w:cs="Times New Roman"/>
        </w:rPr>
      </w:pPr>
      <w:r w:rsidRPr="005C62D3">
        <w:rPr>
          <w:rFonts w:ascii="Aptos" w:hAnsi="Aptos" w:cs="Times New Roman"/>
        </w:rPr>
        <w:t>Establecer limitantes sobre la “sobretasa bomberil”, para no generar cobros desbordados de esta.</w:t>
      </w:r>
    </w:p>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1E94D" w14:textId="77777777" w:rsidR="00242043" w:rsidRDefault="00242043" w:rsidP="00707E60">
      <w:pPr>
        <w:spacing w:after="0" w:line="240" w:lineRule="auto"/>
      </w:pPr>
      <w:r>
        <w:separator/>
      </w:r>
    </w:p>
  </w:endnote>
  <w:endnote w:type="continuationSeparator" w:id="0">
    <w:p w14:paraId="14B215FA" w14:textId="77777777" w:rsidR="00242043" w:rsidRDefault="00242043"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CC806" w14:textId="77777777" w:rsidR="00242043" w:rsidRDefault="00242043" w:rsidP="00707E60">
      <w:pPr>
        <w:spacing w:after="0" w:line="240" w:lineRule="auto"/>
      </w:pPr>
      <w:r>
        <w:separator/>
      </w:r>
    </w:p>
  </w:footnote>
  <w:footnote w:type="continuationSeparator" w:id="0">
    <w:p w14:paraId="4701069B" w14:textId="77777777" w:rsidR="00242043" w:rsidRDefault="00242043"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134524A2"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251552">
                            <w:rPr>
                              <w:color w:val="000000" w:themeColor="text1"/>
                              <w:sz w:val="28"/>
                              <w:szCs w:val="28"/>
                            </w:rPr>
                            <w:t>Chigorodó</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134524A2"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251552">
                      <w:rPr>
                        <w:color w:val="000000" w:themeColor="text1"/>
                        <w:sz w:val="28"/>
                        <w:szCs w:val="28"/>
                      </w:rPr>
                      <w:t>Chigorodó</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9CD"/>
    <w:multiLevelType w:val="multilevel"/>
    <w:tmpl w:val="51BA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B14A8"/>
    <w:multiLevelType w:val="multilevel"/>
    <w:tmpl w:val="2C22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922E8"/>
    <w:multiLevelType w:val="multilevel"/>
    <w:tmpl w:val="B3B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5421A"/>
    <w:multiLevelType w:val="multilevel"/>
    <w:tmpl w:val="3CE4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84B80"/>
    <w:multiLevelType w:val="multilevel"/>
    <w:tmpl w:val="42CC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4216E"/>
    <w:multiLevelType w:val="multilevel"/>
    <w:tmpl w:val="867C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C7C0D"/>
    <w:multiLevelType w:val="multilevel"/>
    <w:tmpl w:val="AA56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25BA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A28CE"/>
    <w:multiLevelType w:val="multilevel"/>
    <w:tmpl w:val="3736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2584C"/>
    <w:multiLevelType w:val="multilevel"/>
    <w:tmpl w:val="4F48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60A7F"/>
    <w:multiLevelType w:val="multilevel"/>
    <w:tmpl w:val="C788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86842"/>
    <w:multiLevelType w:val="multilevel"/>
    <w:tmpl w:val="E24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46604"/>
    <w:multiLevelType w:val="multilevel"/>
    <w:tmpl w:val="F922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971A7"/>
    <w:multiLevelType w:val="multilevel"/>
    <w:tmpl w:val="CCF0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A27F7"/>
    <w:multiLevelType w:val="multilevel"/>
    <w:tmpl w:val="BAE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C70AF"/>
    <w:multiLevelType w:val="multilevel"/>
    <w:tmpl w:val="982C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15868"/>
    <w:multiLevelType w:val="multilevel"/>
    <w:tmpl w:val="A06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AF223E"/>
    <w:multiLevelType w:val="multilevel"/>
    <w:tmpl w:val="DBA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E0E1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246065"/>
    <w:multiLevelType w:val="multilevel"/>
    <w:tmpl w:val="AD1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C0014"/>
    <w:multiLevelType w:val="multilevel"/>
    <w:tmpl w:val="3A6A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142A91"/>
    <w:multiLevelType w:val="multilevel"/>
    <w:tmpl w:val="52E0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C7F00"/>
    <w:multiLevelType w:val="multilevel"/>
    <w:tmpl w:val="F27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C527C6"/>
    <w:multiLevelType w:val="multilevel"/>
    <w:tmpl w:val="2DEA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30C83"/>
    <w:multiLevelType w:val="multilevel"/>
    <w:tmpl w:val="78A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9E3568"/>
    <w:multiLevelType w:val="multilevel"/>
    <w:tmpl w:val="412C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7704">
    <w:abstractNumId w:val="13"/>
  </w:num>
  <w:num w:numId="2" w16cid:durableId="1017347282">
    <w:abstractNumId w:val="19"/>
  </w:num>
  <w:num w:numId="3" w16cid:durableId="44450645">
    <w:abstractNumId w:val="22"/>
  </w:num>
  <w:num w:numId="4" w16cid:durableId="1953855267">
    <w:abstractNumId w:val="1"/>
  </w:num>
  <w:num w:numId="5" w16cid:durableId="1281302291">
    <w:abstractNumId w:val="8"/>
  </w:num>
  <w:num w:numId="6" w16cid:durableId="198319745">
    <w:abstractNumId w:val="21"/>
  </w:num>
  <w:num w:numId="7" w16cid:durableId="1222793921">
    <w:abstractNumId w:val="2"/>
  </w:num>
  <w:num w:numId="8" w16cid:durableId="1663466582">
    <w:abstractNumId w:val="23"/>
  </w:num>
  <w:num w:numId="9" w16cid:durableId="1601404175">
    <w:abstractNumId w:val="29"/>
  </w:num>
  <w:num w:numId="10" w16cid:durableId="1696037023">
    <w:abstractNumId w:val="26"/>
  </w:num>
  <w:num w:numId="11" w16cid:durableId="1726874531">
    <w:abstractNumId w:val="7"/>
  </w:num>
  <w:num w:numId="12" w16cid:durableId="1308511851">
    <w:abstractNumId w:val="16"/>
  </w:num>
  <w:num w:numId="13" w16cid:durableId="470710239">
    <w:abstractNumId w:val="12"/>
  </w:num>
  <w:num w:numId="14" w16cid:durableId="335232453">
    <w:abstractNumId w:val="0"/>
  </w:num>
  <w:num w:numId="15" w16cid:durableId="864756385">
    <w:abstractNumId w:val="24"/>
  </w:num>
  <w:num w:numId="16" w16cid:durableId="1808812370">
    <w:abstractNumId w:val="9"/>
  </w:num>
  <w:num w:numId="17" w16cid:durableId="230238942">
    <w:abstractNumId w:val="27"/>
  </w:num>
  <w:num w:numId="18" w16cid:durableId="1750955448">
    <w:abstractNumId w:val="17"/>
  </w:num>
  <w:num w:numId="19" w16cid:durableId="1620525228">
    <w:abstractNumId w:val="20"/>
  </w:num>
  <w:num w:numId="20" w16cid:durableId="1971281397">
    <w:abstractNumId w:val="18"/>
  </w:num>
  <w:num w:numId="21" w16cid:durableId="898437512">
    <w:abstractNumId w:val="14"/>
  </w:num>
  <w:num w:numId="22" w16cid:durableId="1857577869">
    <w:abstractNumId w:val="15"/>
  </w:num>
  <w:num w:numId="23" w16cid:durableId="2099017172">
    <w:abstractNumId w:val="4"/>
  </w:num>
  <w:num w:numId="24" w16cid:durableId="247349472">
    <w:abstractNumId w:val="6"/>
  </w:num>
  <w:num w:numId="25" w16cid:durableId="999231555">
    <w:abstractNumId w:val="11"/>
  </w:num>
  <w:num w:numId="26" w16cid:durableId="720834703">
    <w:abstractNumId w:val="3"/>
  </w:num>
  <w:num w:numId="27" w16cid:durableId="1947344807">
    <w:abstractNumId w:val="5"/>
  </w:num>
  <w:num w:numId="28" w16cid:durableId="631791086">
    <w:abstractNumId w:val="28"/>
  </w:num>
  <w:num w:numId="29" w16cid:durableId="964773184">
    <w:abstractNumId w:val="10"/>
  </w:num>
  <w:num w:numId="30" w16cid:durableId="160210317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087C16"/>
    <w:rsid w:val="000A76FA"/>
    <w:rsid w:val="000C2026"/>
    <w:rsid w:val="000E17E7"/>
    <w:rsid w:val="001105DF"/>
    <w:rsid w:val="00120797"/>
    <w:rsid w:val="00134527"/>
    <w:rsid w:val="0016665C"/>
    <w:rsid w:val="00180D84"/>
    <w:rsid w:val="001B556D"/>
    <w:rsid w:val="00211E44"/>
    <w:rsid w:val="0023618C"/>
    <w:rsid w:val="00242043"/>
    <w:rsid w:val="00251552"/>
    <w:rsid w:val="00280F9A"/>
    <w:rsid w:val="002A4167"/>
    <w:rsid w:val="003650D0"/>
    <w:rsid w:val="003A7CEA"/>
    <w:rsid w:val="003E2241"/>
    <w:rsid w:val="004107CA"/>
    <w:rsid w:val="004273E5"/>
    <w:rsid w:val="004671B7"/>
    <w:rsid w:val="004A39B6"/>
    <w:rsid w:val="005422DF"/>
    <w:rsid w:val="005B772A"/>
    <w:rsid w:val="005C62D3"/>
    <w:rsid w:val="005D08ED"/>
    <w:rsid w:val="005F7A75"/>
    <w:rsid w:val="00605B4C"/>
    <w:rsid w:val="00656CE7"/>
    <w:rsid w:val="00665846"/>
    <w:rsid w:val="006A249B"/>
    <w:rsid w:val="00707E60"/>
    <w:rsid w:val="00745C46"/>
    <w:rsid w:val="00794C3B"/>
    <w:rsid w:val="00813F67"/>
    <w:rsid w:val="00816BD4"/>
    <w:rsid w:val="00844CC8"/>
    <w:rsid w:val="00845F02"/>
    <w:rsid w:val="00852ADC"/>
    <w:rsid w:val="00855468"/>
    <w:rsid w:val="008A01C7"/>
    <w:rsid w:val="00944C88"/>
    <w:rsid w:val="0096088F"/>
    <w:rsid w:val="009D1F9E"/>
    <w:rsid w:val="009F1B3C"/>
    <w:rsid w:val="00A27409"/>
    <w:rsid w:val="00A407A7"/>
    <w:rsid w:val="00A456B7"/>
    <w:rsid w:val="00A55C9A"/>
    <w:rsid w:val="00A566B6"/>
    <w:rsid w:val="00A60686"/>
    <w:rsid w:val="00A96461"/>
    <w:rsid w:val="00AA7DD4"/>
    <w:rsid w:val="00AE2D50"/>
    <w:rsid w:val="00BB442A"/>
    <w:rsid w:val="00BC7035"/>
    <w:rsid w:val="00C04706"/>
    <w:rsid w:val="00C25E4F"/>
    <w:rsid w:val="00C942B0"/>
    <w:rsid w:val="00CD32DD"/>
    <w:rsid w:val="00D37EF2"/>
    <w:rsid w:val="00DB14E5"/>
    <w:rsid w:val="00DD0016"/>
    <w:rsid w:val="00E20840"/>
    <w:rsid w:val="00E608BE"/>
    <w:rsid w:val="00E724EE"/>
    <w:rsid w:val="00E733D1"/>
    <w:rsid w:val="00EF712C"/>
    <w:rsid w:val="00F244D0"/>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733</Words>
  <Characters>4181</Characters>
  <Application>Microsoft Office Word</Application>
  <DocSecurity>0</DocSecurity>
  <Lines>34</Lines>
  <Paragraphs>9</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28</cp:revision>
  <dcterms:created xsi:type="dcterms:W3CDTF">2025-10-23T17:12:00Z</dcterms:created>
  <dcterms:modified xsi:type="dcterms:W3CDTF">2025-11-04T16:20:00Z</dcterms:modified>
</cp:coreProperties>
</file>