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10FC158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0F6735">
        <w:rPr>
          <w:color w:val="000000" w:themeColor="text1"/>
          <w:sz w:val="44"/>
          <w:szCs w:val="44"/>
        </w:rPr>
        <w:t>Cisneros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35557355" w14:textId="77777777" w:rsidR="00C969A1" w:rsidRPr="00C969A1" w:rsidRDefault="00C969A1" w:rsidP="00C969A1">
      <w:pPr>
        <w:spacing w:line="360" w:lineRule="auto"/>
        <w:jc w:val="both"/>
        <w:rPr>
          <w:rFonts w:ascii="Aptos" w:hAnsi="Aptos"/>
        </w:rPr>
      </w:pPr>
      <w:r w:rsidRPr="00C969A1">
        <w:rPr>
          <w:rFonts w:ascii="Aptos" w:hAnsi="Aptos" w:cs="Times New Roman"/>
        </w:rPr>
        <w:lastRenderedPageBreak/>
        <w:t>El estado actual de su normatividad tributaria se establece en el Acuerdo 026 de 2020, modificado por el Acuerdo 025 de 2021.</w:t>
      </w:r>
    </w:p>
    <w:p w14:paraId="2A36649D" w14:textId="77777777" w:rsidR="00C969A1" w:rsidRPr="00C969A1" w:rsidRDefault="00C969A1" w:rsidP="00C969A1">
      <w:pPr>
        <w:spacing w:line="360" w:lineRule="auto"/>
        <w:jc w:val="both"/>
        <w:rPr>
          <w:rFonts w:ascii="Aptos" w:hAnsi="Aptos"/>
          <w:sz w:val="32"/>
          <w:szCs w:val="32"/>
        </w:rPr>
      </w:pPr>
      <w:r w:rsidRPr="00C969A1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03BEA19F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434B0849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El capítulo vigente del IPU y la sección catastral carecen de una regulación integral de la gestión catastral: no desarrollan de forma sistemática los componentes físico, jurídico, fiscal y económico ni sus definiciones operativas; esto debilita la trazabilidad entre catastro y liquidación del impuesto.</w:t>
      </w:r>
    </w:p>
    <w:p w14:paraId="3089A2DA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No se consignan objetivos, principios y procedimientos propios del enfoque de catastro multipropósito (barrido predial, interoperabilidad de capas no parcelarias, integración catastro-registro, servicios digitales); la referencia a mutaciones es genérica y no establece deberes de reporte periódico a Hacienda.</w:t>
      </w:r>
    </w:p>
    <w:p w14:paraId="2B393FDE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La clasificación por edificaciones y el umbral para calificar predios edificados/no edificados no están definidos con criterio técnico uniforme; esto afecta la aplicación de tarifas diferenciales y la identificación de lotes urbanizados no edificados y urbanizables no urbanizados.</w:t>
      </w:r>
    </w:p>
    <w:p w14:paraId="4E53E3BE" w14:textId="6264B108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 xml:space="preserve">La admisión del </w:t>
      </w:r>
      <w:r w:rsidRPr="00C969A1">
        <w:rPr>
          <w:rFonts w:ascii="Aptos" w:hAnsi="Aptos" w:cs="Times New Roman"/>
        </w:rPr>
        <w:t>auto avalúo</w:t>
      </w:r>
      <w:r w:rsidRPr="00C969A1">
        <w:rPr>
          <w:rFonts w:ascii="Aptos" w:hAnsi="Aptos" w:cs="Times New Roman"/>
        </w:rPr>
        <w:t xml:space="preserve"> existe, pero sin una base mínima técnica, sin procedimiento probatorio detallado ni reglas claras para predios no formados; esto abre espacio a subdeclaraciones y controversias en vía gubernativa.</w:t>
      </w:r>
    </w:p>
    <w:p w14:paraId="0354BD6E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La actualización/reajuste anual de avalúos se remite a parámetros nacionales, pero no se articula con un esquema local de límites y gradualidad para escenarios de actualización o rezago; faltan reglas de transición y coherencia con topes cuando el incremento proviene de cambios tarifarios.</w:t>
      </w:r>
    </w:p>
    <w:p w14:paraId="64F3CA6C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lastRenderedPageBreak/>
        <w:t>La determinación por factura y su mérito ejecutivo no están desarrollados con contenido mínimo ni con un protocolo robusto de notificación (cartelera, web, domicilio electrónico habilitado y constancias), lo que expone a nulidades y debilita el cobro.</w:t>
      </w:r>
    </w:p>
    <w:p w14:paraId="77A98A8B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No se observa una metodología completa para compensación por obras de utilidad pública (energía, acueductos, riego/regulación de caudales) ni su coordinación con la base catastral vigente; el tratamiento de concesiones y patrimonios autónomos es insuficiente.</w:t>
      </w:r>
    </w:p>
    <w:p w14:paraId="3E34EA43" w14:textId="77777777" w:rsidR="00C969A1" w:rsidRPr="00C969A1" w:rsidRDefault="00C969A1" w:rsidP="00C969A1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Beneficios, exenciones y prohibiciones con enfoque ambiental o de uso del suelo: el esquema vigente no separa de forma técnica exclusiones versus exenciones ni fija requisitos uniformes de acceso, vigencia, verificación y pérdida; se requiere control de costo fiscal y homologación cartográfica para soportar decisiones.</w:t>
      </w:r>
    </w:p>
    <w:p w14:paraId="0F0BD83F" w14:textId="77777777" w:rsidR="00C969A1" w:rsidRPr="00C969A1" w:rsidRDefault="00C969A1" w:rsidP="00C969A1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C969A1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54739C70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2454D53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Incorporar un capítulo catastral completo: definiciones y desarrollo de los componentes físico, jurídico, fiscal y económico; obligaciones de gestores/operadores; reporte al SINIC y a Hacienda municipal; interoperabilidad con registro.</w:t>
      </w:r>
    </w:p>
    <w:p w14:paraId="67B464C8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Adoptar explícitamente el enfoque multipropósito con sus procedimientos (barrido predial, integración catastro-registro, capas no parcelarias, servicios digitales) y un deber de reporte periódico de mutaciones a Hacienda para alimentar la base gravable del IPU.</w:t>
      </w:r>
    </w:p>
    <w:p w14:paraId="0E8B419F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Definir criterios técnicos para clasificar predios edificados/no edificados (umbral objetivo de área construida) y para identificar lotes urbanizados no edificados y urbanizables no urbanizados, asegurando la correcta aplicación de tarifas diferenciales.</w:t>
      </w:r>
    </w:p>
    <w:p w14:paraId="0F6138FF" w14:textId="28E3FD9F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 xml:space="preserve">Reglamentar el </w:t>
      </w:r>
      <w:r w:rsidRPr="00C969A1">
        <w:rPr>
          <w:rFonts w:ascii="Aptos" w:hAnsi="Aptos" w:cs="Times New Roman"/>
        </w:rPr>
        <w:t>auto avalúo</w:t>
      </w:r>
      <w:r w:rsidRPr="00C969A1">
        <w:rPr>
          <w:rFonts w:ascii="Aptos" w:hAnsi="Aptos" w:cs="Times New Roman"/>
        </w:rPr>
        <w:t>: base mínima sustentada en valores unitarios oficiales, pruebas admisibles, integración a conservación catastral y reglas especiales para predios no formados; establecer control cruzado con la autoridad catastral.</w:t>
      </w:r>
    </w:p>
    <w:p w14:paraId="1FD44603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 xml:space="preserve">Establecer límites y esquema de transición/gradualidad para incrementos del IPU en actualización y rezago, así como un tope cuando el aumento provenga de modificaciones </w:t>
      </w:r>
      <w:r w:rsidRPr="00C969A1">
        <w:rPr>
          <w:rFonts w:ascii="Aptos" w:hAnsi="Aptos" w:cs="Times New Roman"/>
        </w:rPr>
        <w:lastRenderedPageBreak/>
        <w:t>tarifarias; armonizar estos límites con las cargas atadas al avalúo para mantener coherencia del total a pagar.</w:t>
      </w:r>
    </w:p>
    <w:p w14:paraId="2D8E9D7C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Desarrollar la determinación por factura con mérito ejecutivo: contenido mínimo (identificación del predio, base, tarifa, liquidación, fundamentos y recursos), protocolo de notificación por web/cartelera y, cuando proceda, domicilio electrónico habilitado con constancias.</w:t>
      </w:r>
    </w:p>
    <w:p w14:paraId="533C60F5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Precisar la metodología de compensación por obras de utilidad pública y el tratamiento de concesiones/patrimonios autónomos: base, periodicidad, acto de liquidación y cobro, coordinado con la autoridad catastral para evitar dobles cómputos.</w:t>
      </w:r>
    </w:p>
    <w:p w14:paraId="4E6078B6" w14:textId="77777777" w:rsidR="00C969A1" w:rsidRPr="00C969A1" w:rsidRDefault="00C969A1" w:rsidP="00C969A1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C969A1">
        <w:rPr>
          <w:rFonts w:ascii="Aptos" w:hAnsi="Aptos" w:cs="Times New Roman"/>
        </w:rPr>
        <w:t>Beneficios, exenciones y prohibiciones con enfoque ambiental o de uso del suelo: separar técnicamente exclusiones (prohibido gravamen) de exenciones; fijar requisitos uniformes de acceso, ventanas de radicación, verificación cartográfica de destinación, vigencia y causales de pérdida; incorporar estimación y reporte anual del costo fiscal.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CC1D" w14:textId="77777777" w:rsidR="0059338F" w:rsidRDefault="0059338F" w:rsidP="00707E60">
      <w:pPr>
        <w:spacing w:after="0" w:line="240" w:lineRule="auto"/>
      </w:pPr>
      <w:r>
        <w:separator/>
      </w:r>
    </w:p>
  </w:endnote>
  <w:endnote w:type="continuationSeparator" w:id="0">
    <w:p w14:paraId="6357FD9D" w14:textId="77777777" w:rsidR="0059338F" w:rsidRDefault="0059338F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3FC" w14:textId="77777777" w:rsidR="0059338F" w:rsidRDefault="0059338F" w:rsidP="00707E60">
      <w:pPr>
        <w:spacing w:after="0" w:line="240" w:lineRule="auto"/>
      </w:pPr>
      <w:r>
        <w:separator/>
      </w:r>
    </w:p>
  </w:footnote>
  <w:footnote w:type="continuationSeparator" w:id="0">
    <w:p w14:paraId="44E8089B" w14:textId="77777777" w:rsidR="0059338F" w:rsidRDefault="0059338F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1E970B26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0F6735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Cisneros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1E970B26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0F6735">
                      <w:rPr>
                        <w:color w:val="000000" w:themeColor="text1"/>
                        <w:sz w:val="28"/>
                        <w:szCs w:val="28"/>
                      </w:rPr>
                      <w:t>Cisneros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9F7"/>
    <w:multiLevelType w:val="multilevel"/>
    <w:tmpl w:val="67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539E3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84DE7"/>
    <w:multiLevelType w:val="multilevel"/>
    <w:tmpl w:val="D8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F7B2C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2"/>
  </w:num>
  <w:num w:numId="2" w16cid:durableId="1017347282">
    <w:abstractNumId w:val="3"/>
  </w:num>
  <w:num w:numId="3" w16cid:durableId="139880706">
    <w:abstractNumId w:val="7"/>
  </w:num>
  <w:num w:numId="4" w16cid:durableId="1002395279">
    <w:abstractNumId w:val="1"/>
  </w:num>
  <w:num w:numId="5" w16cid:durableId="74599418">
    <w:abstractNumId w:val="5"/>
  </w:num>
  <w:num w:numId="6" w16cid:durableId="738556425">
    <w:abstractNumId w:val="0"/>
  </w:num>
  <w:num w:numId="7" w16cid:durableId="149954625">
    <w:abstractNumId w:val="4"/>
  </w:num>
  <w:num w:numId="8" w16cid:durableId="1103109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63ED2"/>
    <w:rsid w:val="00084B98"/>
    <w:rsid w:val="000F6735"/>
    <w:rsid w:val="00120797"/>
    <w:rsid w:val="00134527"/>
    <w:rsid w:val="002038BA"/>
    <w:rsid w:val="00211E44"/>
    <w:rsid w:val="0023618C"/>
    <w:rsid w:val="003154C0"/>
    <w:rsid w:val="00340F0A"/>
    <w:rsid w:val="003650D0"/>
    <w:rsid w:val="003A7CEA"/>
    <w:rsid w:val="003E2241"/>
    <w:rsid w:val="004107CA"/>
    <w:rsid w:val="004A3A13"/>
    <w:rsid w:val="005422DF"/>
    <w:rsid w:val="0059338F"/>
    <w:rsid w:val="005C20CA"/>
    <w:rsid w:val="005F7A75"/>
    <w:rsid w:val="00605B4C"/>
    <w:rsid w:val="00665846"/>
    <w:rsid w:val="006A249B"/>
    <w:rsid w:val="00707E60"/>
    <w:rsid w:val="007A49F6"/>
    <w:rsid w:val="00813F67"/>
    <w:rsid w:val="0084474E"/>
    <w:rsid w:val="00844CC8"/>
    <w:rsid w:val="00845F02"/>
    <w:rsid w:val="00912DFC"/>
    <w:rsid w:val="00963712"/>
    <w:rsid w:val="009714F4"/>
    <w:rsid w:val="009D1F9E"/>
    <w:rsid w:val="00A27409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C969A1"/>
    <w:rsid w:val="00D37EF2"/>
    <w:rsid w:val="00DB14E5"/>
    <w:rsid w:val="00E20840"/>
    <w:rsid w:val="00E52944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character" w:styleId="Strong">
    <w:name w:val="Strong"/>
    <w:basedOn w:val="DefaultParagraphFont"/>
    <w:uiPriority w:val="22"/>
    <w:qFormat/>
    <w:rsid w:val="0096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15</cp:revision>
  <dcterms:created xsi:type="dcterms:W3CDTF">2025-10-23T17:12:00Z</dcterms:created>
  <dcterms:modified xsi:type="dcterms:W3CDTF">2025-11-04T16:28:00Z</dcterms:modified>
</cp:coreProperties>
</file>