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A727594"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626E06">
        <w:rPr>
          <w:color w:val="000000" w:themeColor="text1"/>
          <w:sz w:val="44"/>
          <w:szCs w:val="44"/>
        </w:rPr>
        <w:t>Cocorná</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2F0B9B69" w14:textId="77777777" w:rsidR="00630CAC" w:rsidRPr="00630CAC" w:rsidRDefault="00630CAC" w:rsidP="00630CAC">
      <w:pPr>
        <w:spacing w:line="360" w:lineRule="auto"/>
        <w:rPr>
          <w:rFonts w:ascii="Aptos" w:hAnsi="Aptos" w:cs="Times New Roman"/>
        </w:rPr>
      </w:pPr>
      <w:r w:rsidRPr="00630CAC">
        <w:rPr>
          <w:rFonts w:ascii="Aptos" w:hAnsi="Aptos" w:cs="Times New Roman"/>
        </w:rPr>
        <w:lastRenderedPageBreak/>
        <w:t xml:space="preserve">El estado actual de su normatividad tributaria se establece en el </w:t>
      </w:r>
      <w:r w:rsidRPr="00630CAC">
        <w:rPr>
          <w:rFonts w:ascii="Aptos" w:hAnsi="Aptos" w:cs="Times New Roman"/>
          <w:b/>
          <w:bCs/>
        </w:rPr>
        <w:t>A</w:t>
      </w:r>
      <w:r w:rsidRPr="00630CAC">
        <w:rPr>
          <w:rFonts w:ascii="Aptos" w:hAnsi="Aptos" w:cs="Times New Roman"/>
        </w:rPr>
        <w:t>cuerdo 014 de 2024.</w:t>
      </w:r>
    </w:p>
    <w:p w14:paraId="6B55DD30" w14:textId="77777777" w:rsidR="00630CAC" w:rsidRPr="00630CAC" w:rsidRDefault="00630CAC" w:rsidP="00630CAC">
      <w:pPr>
        <w:spacing w:line="360" w:lineRule="auto"/>
        <w:jc w:val="both"/>
        <w:rPr>
          <w:rFonts w:ascii="Aptos" w:hAnsi="Aptos" w:cs="Times New Roman"/>
          <w:b/>
          <w:bCs/>
          <w:sz w:val="32"/>
          <w:szCs w:val="32"/>
        </w:rPr>
      </w:pPr>
      <w:r w:rsidRPr="00630CAC">
        <w:rPr>
          <w:rFonts w:ascii="Aptos" w:hAnsi="Aptos" w:cs="Times New Roman"/>
          <w:b/>
          <w:bCs/>
          <w:sz w:val="32"/>
          <w:szCs w:val="32"/>
        </w:rPr>
        <w:t>Hallazgos</w:t>
      </w:r>
    </w:p>
    <w:p w14:paraId="581376AB"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DBC5E1A"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Se consagra la autorización legal, el carácter real, el hecho generador, los sujetos y la base gravable sobre avalúo catastral (con ajuste anual nacional).</w:t>
      </w:r>
    </w:p>
    <w:p w14:paraId="3E72FF6F"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 xml:space="preserve">Se prevé Impuesto Predial Compensatorio (Ley 56 de 1981) con regla de compensación del 150% del </w:t>
      </w:r>
      <w:proofErr w:type="spellStart"/>
      <w:r w:rsidRPr="00630CAC">
        <w:rPr>
          <w:rFonts w:ascii="Aptos" w:hAnsi="Aptos" w:cs="Times New Roman"/>
        </w:rPr>
        <w:t>milaje</w:t>
      </w:r>
      <w:proofErr w:type="spellEnd"/>
      <w:r w:rsidRPr="00630CAC">
        <w:rPr>
          <w:rFonts w:ascii="Aptos" w:hAnsi="Aptos" w:cs="Times New Roman"/>
        </w:rPr>
        <w:t xml:space="preserve"> general sobre el valor catastral promedio por hectárea rural.</w:t>
      </w:r>
    </w:p>
    <w:p w14:paraId="5CBE260E"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Determinación oficial vía sistema de facturación; la factura/notificación en cartelera y web constituye título ejecutivo, con recurso de reconsideración.</w:t>
      </w:r>
    </w:p>
    <w:p w14:paraId="05C6D409"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Esquema de pago trimestral y beneficio de pronto pago del 10% dentro del primer trimestre de la vigencia.</w:t>
      </w:r>
    </w:p>
    <w:p w14:paraId="37C114CB"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 xml:space="preserve">Matriz tarifaria diferenciada por destinos y, en urbano-habitacional, por estrato y rangos en UVT; </w:t>
      </w:r>
      <w:proofErr w:type="spellStart"/>
      <w:r w:rsidRPr="00630CAC">
        <w:rPr>
          <w:rFonts w:ascii="Aptos" w:hAnsi="Aptos" w:cs="Times New Roman"/>
        </w:rPr>
        <w:t>milajes</w:t>
      </w:r>
      <w:proofErr w:type="spellEnd"/>
      <w:r w:rsidRPr="00630CAC">
        <w:rPr>
          <w:rFonts w:ascii="Aptos" w:hAnsi="Aptos" w:cs="Times New Roman"/>
        </w:rPr>
        <w:t xml:space="preserve"> ordinarios entre 5×1000 y 16×1000; tratamientos para lotes: urbanizado no edificado 20×1000, urbanizable no urbanizado 18×1000, unidad predial no construida 16×1000; destinos “no urbanizables” a 6×1000; cultural 5×1000. En suelo rural, categorías como parques nacionales y reserva forestal a 2×1000, agropecuario por rangos (4–6×1000) y lote rural 20×1000.</w:t>
      </w:r>
    </w:p>
    <w:p w14:paraId="05477A14"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Regla de incremento máximo por modificación de tarifas: tope del 25% del cobro total respecto del año anterior, con excepciones legales; no hay desarrollo específico de límite por rezago/actualización catastral distinto del ajuste anual de avalúos.</w:t>
      </w:r>
    </w:p>
    <w:p w14:paraId="22230BF0"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 xml:space="preserve">Sobretasa ambiental del 1,5×1000 con destinación a CORNARE y facultad para convenios de reinversión. Como aspectos de uso del suelo/ambiental, además de la sobretasa, la </w:t>
      </w:r>
      <w:r w:rsidRPr="00630CAC">
        <w:rPr>
          <w:rFonts w:ascii="Aptos" w:hAnsi="Aptos" w:cs="Times New Roman"/>
        </w:rPr>
        <w:lastRenderedPageBreak/>
        <w:t>matriz incluye tarifas para parques nacionales y reservas forestales (2×1000) y mantiene exclusión de bienes de uso público salvo áreas con explotación mercantil.</w:t>
      </w:r>
    </w:p>
    <w:p w14:paraId="358DB248"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Ajuste anual del avalúo: adopta el esquema nacional (70%–100% del incremento del IPC para predios formados; hasta 130% para no formados), con la salvedad de no aplicar cuando el avalúo ya fue formado o reajustado en el mismo año.</w:t>
      </w:r>
    </w:p>
    <w:p w14:paraId="17FD418F"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Auto estimación/</w:t>
      </w:r>
      <w:proofErr w:type="spellStart"/>
      <w:r w:rsidRPr="00630CAC">
        <w:rPr>
          <w:rFonts w:ascii="Aptos" w:hAnsi="Aptos" w:cs="Times New Roman"/>
        </w:rPr>
        <w:t>autoavalúo</w:t>
      </w:r>
      <w:proofErr w:type="spellEnd"/>
      <w:r w:rsidRPr="00630CAC">
        <w:rPr>
          <w:rFonts w:ascii="Aptos" w:hAnsi="Aptos" w:cs="Times New Roman"/>
        </w:rPr>
        <w:t xml:space="preserve">: desarrolla procedimiento, requisitos probatorios y bases mínimas (nunca inferior al avalúo vigente ni al último </w:t>
      </w:r>
      <w:proofErr w:type="spellStart"/>
      <w:r w:rsidRPr="00630CAC">
        <w:rPr>
          <w:rFonts w:ascii="Aptos" w:hAnsi="Aptos" w:cs="Times New Roman"/>
        </w:rPr>
        <w:t>autoavalúo</w:t>
      </w:r>
      <w:proofErr w:type="spellEnd"/>
      <w:r w:rsidRPr="00630CAC">
        <w:rPr>
          <w:rFonts w:ascii="Aptos" w:hAnsi="Aptos" w:cs="Times New Roman"/>
        </w:rPr>
        <w:t xml:space="preserve">), distinguiendo entre auto estimación de catastro y declaración de </w:t>
      </w:r>
      <w:proofErr w:type="spellStart"/>
      <w:r w:rsidRPr="00630CAC">
        <w:rPr>
          <w:rFonts w:ascii="Aptos" w:hAnsi="Aptos" w:cs="Times New Roman"/>
        </w:rPr>
        <w:t>autoavalúo</w:t>
      </w:r>
      <w:proofErr w:type="spellEnd"/>
      <w:r w:rsidRPr="00630CAC">
        <w:rPr>
          <w:rFonts w:ascii="Aptos" w:hAnsi="Aptos" w:cs="Times New Roman"/>
        </w:rPr>
        <w:t xml:space="preserve"> para IPU; prevé soportes (planos, certificaciones, avalúos, escrituras, aerofotos) y efectos fiscales como costo fiscal en renta.</w:t>
      </w:r>
    </w:p>
    <w:p w14:paraId="69C8D6C6"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Revisión de avalúo ante la gerencia catastral: incorpora trámite en conservación con recursos administrativos; prevé incremento automático de rangos de avalúo con el porcentaje nacional.</w:t>
      </w:r>
    </w:p>
    <w:p w14:paraId="58E4633D"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 xml:space="preserve">Límite anual del IPU por actualización catastral: adopta esquema IPC + 8 </w:t>
      </w:r>
      <w:proofErr w:type="spellStart"/>
      <w:r w:rsidRPr="00630CAC">
        <w:rPr>
          <w:rFonts w:ascii="Aptos" w:hAnsi="Aptos" w:cs="Times New Roman"/>
        </w:rPr>
        <w:t>pp</w:t>
      </w:r>
      <w:proofErr w:type="spellEnd"/>
      <w:r w:rsidRPr="00630CAC">
        <w:rPr>
          <w:rFonts w:ascii="Aptos" w:hAnsi="Aptos" w:cs="Times New Roman"/>
        </w:rPr>
        <w:t xml:space="preserve"> para actualizados y 50% como tope para no actualizados; regla especial para estratos 1 y 2 hasta 135 SMMLV (tope 100% del IPC); incluye exclusiones (lotes, cambios de destino/área, </w:t>
      </w:r>
      <w:proofErr w:type="spellStart"/>
      <w:r w:rsidRPr="00630CAC">
        <w:rPr>
          <w:rFonts w:ascii="Aptos" w:hAnsi="Aptos" w:cs="Times New Roman"/>
        </w:rPr>
        <w:t>autoavalúo</w:t>
      </w:r>
      <w:proofErr w:type="spellEnd"/>
      <w:r w:rsidRPr="00630CAC">
        <w:rPr>
          <w:rFonts w:ascii="Aptos" w:hAnsi="Aptos" w:cs="Times New Roman"/>
        </w:rPr>
        <w:t xml:space="preserve">/auto estimación, predios sin formación, etc.). </w:t>
      </w:r>
    </w:p>
    <w:p w14:paraId="4CBFF7EC" w14:textId="77777777" w:rsidR="00630CAC" w:rsidRPr="00630CAC" w:rsidRDefault="00630CAC" w:rsidP="00630CAC">
      <w:pPr>
        <w:numPr>
          <w:ilvl w:val="0"/>
          <w:numId w:val="9"/>
        </w:numPr>
        <w:spacing w:line="360" w:lineRule="auto"/>
        <w:jc w:val="both"/>
        <w:rPr>
          <w:rFonts w:ascii="Aptos" w:hAnsi="Aptos" w:cs="Times New Roman"/>
        </w:rPr>
      </w:pPr>
      <w:r w:rsidRPr="00630CAC">
        <w:rPr>
          <w:rFonts w:ascii="Aptos" w:hAnsi="Aptos" w:cs="Times New Roman"/>
        </w:rPr>
        <w:t>Sistema de Pago Alternativo por Cuotas (SPAC) para personas naturales en uso residencial: habilita pago en cuotas bajo reglamentación municipal; requiere parámetros operativos (asignación automática u opción, intereses, pérdida del beneficio, relación con pronto pago).</w:t>
      </w:r>
    </w:p>
    <w:p w14:paraId="7B96EDA0" w14:textId="77777777" w:rsidR="00630CAC" w:rsidRPr="00630CAC" w:rsidRDefault="00630CAC" w:rsidP="00630CAC">
      <w:pPr>
        <w:spacing w:line="360" w:lineRule="auto"/>
        <w:jc w:val="both"/>
        <w:rPr>
          <w:rFonts w:ascii="Aptos" w:hAnsi="Aptos" w:cs="Times New Roman"/>
          <w:b/>
          <w:bCs/>
          <w:sz w:val="32"/>
          <w:szCs w:val="32"/>
        </w:rPr>
      </w:pPr>
      <w:r w:rsidRPr="00630CAC">
        <w:rPr>
          <w:rFonts w:ascii="Aptos" w:hAnsi="Aptos" w:cs="Times New Roman"/>
          <w:b/>
          <w:bCs/>
          <w:sz w:val="32"/>
          <w:szCs w:val="32"/>
        </w:rPr>
        <w:t>Recomendaciones</w:t>
      </w:r>
    </w:p>
    <w:p w14:paraId="68270B9C" w14:textId="77777777" w:rsidR="00630CAC" w:rsidRPr="00630CAC" w:rsidRDefault="00630CAC" w:rsidP="00630CAC">
      <w:pPr>
        <w:numPr>
          <w:ilvl w:val="0"/>
          <w:numId w:val="10"/>
        </w:numPr>
        <w:spacing w:line="360" w:lineRule="auto"/>
        <w:jc w:val="both"/>
        <w:rPr>
          <w:rFonts w:ascii="Aptos" w:hAnsi="Aptos" w:cs="Times New Roman"/>
        </w:rPr>
      </w:pPr>
      <w:r w:rsidRPr="00630CA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CF53C82" w14:textId="77777777" w:rsidR="00630CAC" w:rsidRPr="00630CAC" w:rsidRDefault="00630CAC" w:rsidP="00630CAC">
      <w:pPr>
        <w:numPr>
          <w:ilvl w:val="0"/>
          <w:numId w:val="10"/>
        </w:numPr>
        <w:spacing w:line="360" w:lineRule="auto"/>
        <w:jc w:val="both"/>
        <w:rPr>
          <w:rFonts w:ascii="Aptos" w:hAnsi="Aptos" w:cs="Times New Roman"/>
        </w:rPr>
      </w:pPr>
      <w:r w:rsidRPr="00630CAC">
        <w:rPr>
          <w:rFonts w:ascii="Aptos" w:hAnsi="Aptos" w:cs="Times New Roman"/>
        </w:rPr>
        <w:lastRenderedPageBreak/>
        <w:t>Unificar y jerarquizar el régimen de límites del IPU en un solo artículo operativo: (i) precisar cuándo aplica IPC+8 y 50% (actualizado vs. no actualizado), (ii) mantener la regla especial de estratos 1-2 hasta 135 SMMLV, y (iii) diferenciar claramente el límite por modificación de tarifas (25%) para que no se confunda con el rezago; incluir metodología de cálculo, ejemplos y orden de prelación para evitar dobles topes o vacíos.</w:t>
      </w:r>
    </w:p>
    <w:p w14:paraId="271F2317" w14:textId="77777777" w:rsidR="00630CAC" w:rsidRPr="00630CAC" w:rsidRDefault="00630CAC" w:rsidP="00630CAC">
      <w:pPr>
        <w:numPr>
          <w:ilvl w:val="0"/>
          <w:numId w:val="10"/>
        </w:numPr>
        <w:spacing w:line="360" w:lineRule="auto"/>
        <w:jc w:val="both"/>
        <w:rPr>
          <w:rFonts w:ascii="Aptos" w:hAnsi="Aptos" w:cs="Times New Roman"/>
        </w:rPr>
      </w:pPr>
      <w:r w:rsidRPr="00630CAC">
        <w:rPr>
          <w:rFonts w:ascii="Aptos" w:hAnsi="Aptos" w:cs="Times New Roman"/>
        </w:rPr>
        <w:t>Reglamentar de forma integral el ajuste anual del avalúo: fuente oficial del porcentaje, calendario de aplicación, excepciones por formación/reajuste, y coordinación con la facturación; documentar el manejo de predios no formados (hasta 130% del IPC) y su transición cuando ingresan a formación.</w:t>
      </w:r>
    </w:p>
    <w:p w14:paraId="7091F75A" w14:textId="77777777" w:rsidR="00630CAC" w:rsidRPr="00630CAC" w:rsidRDefault="00630CAC" w:rsidP="00630CAC">
      <w:pPr>
        <w:numPr>
          <w:ilvl w:val="0"/>
          <w:numId w:val="10"/>
        </w:numPr>
        <w:spacing w:line="360" w:lineRule="auto"/>
        <w:jc w:val="both"/>
        <w:rPr>
          <w:rFonts w:ascii="Aptos" w:hAnsi="Aptos" w:cs="Times New Roman"/>
        </w:rPr>
      </w:pPr>
      <w:r w:rsidRPr="00630CAC">
        <w:rPr>
          <w:rFonts w:ascii="Aptos" w:hAnsi="Aptos" w:cs="Times New Roman"/>
        </w:rPr>
        <w:t>Precisar el trámite de revisión de avalúo en conservación</w:t>
      </w:r>
    </w:p>
    <w:p w14:paraId="2ACB3B45" w14:textId="77777777" w:rsidR="00630CAC" w:rsidRPr="00630CAC" w:rsidRDefault="00630CAC" w:rsidP="00630CAC">
      <w:pPr>
        <w:numPr>
          <w:ilvl w:val="0"/>
          <w:numId w:val="10"/>
        </w:numPr>
        <w:spacing w:line="360" w:lineRule="auto"/>
        <w:jc w:val="both"/>
        <w:rPr>
          <w:rFonts w:ascii="Aptos" w:hAnsi="Aptos" w:cs="Times New Roman"/>
        </w:rPr>
      </w:pPr>
      <w:r w:rsidRPr="00630CAC">
        <w:rPr>
          <w:rFonts w:ascii="Aptos" w:hAnsi="Aptos" w:cs="Times New Roman"/>
        </w:rPr>
        <w:t>Ajustar el mérito ejecutivo de la determinación vía factura: contenido mínimo, constancias de publicación/notificación, y lineamientos de corrección y compensación.</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E82A" w14:textId="77777777" w:rsidR="0092225F" w:rsidRDefault="0092225F" w:rsidP="00707E60">
      <w:pPr>
        <w:spacing w:after="0" w:line="240" w:lineRule="auto"/>
      </w:pPr>
      <w:r>
        <w:separator/>
      </w:r>
    </w:p>
  </w:endnote>
  <w:endnote w:type="continuationSeparator" w:id="0">
    <w:p w14:paraId="17D81E60" w14:textId="77777777" w:rsidR="0092225F" w:rsidRDefault="0092225F"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EndPr>
      <w:rPr>
        <w:rStyle w:val="PageNumber"/>
      </w:rPr>
    </w:sdtEnd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EndPr>
      <w:rPr>
        <w:rStyle w:val="PageNumber"/>
      </w:rPr>
    </w:sdtEnd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14B91" w14:textId="77777777" w:rsidR="0092225F" w:rsidRDefault="0092225F" w:rsidP="00707E60">
      <w:pPr>
        <w:spacing w:after="0" w:line="240" w:lineRule="auto"/>
      </w:pPr>
      <w:r>
        <w:separator/>
      </w:r>
    </w:p>
  </w:footnote>
  <w:footnote w:type="continuationSeparator" w:id="0">
    <w:p w14:paraId="3A5CA535" w14:textId="77777777" w:rsidR="0092225F" w:rsidRDefault="0092225F"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80EC1D1"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626E06">
                            <w:rPr>
                              <w:color w:val="000000" w:themeColor="text1"/>
                              <w:sz w:val="28"/>
                              <w:szCs w:val="28"/>
                            </w:rPr>
                            <w:t>Cocorná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080EC1D1"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626E06">
                      <w:rPr>
                        <w:color w:val="000000" w:themeColor="text1"/>
                        <w:sz w:val="28"/>
                        <w:szCs w:val="28"/>
                      </w:rPr>
                      <w:t>Cocorná</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32271"/>
    <w:multiLevelType w:val="multilevel"/>
    <w:tmpl w:val="1C0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44BA7"/>
    <w:multiLevelType w:val="multilevel"/>
    <w:tmpl w:val="04A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05459"/>
    <w:multiLevelType w:val="multilevel"/>
    <w:tmpl w:val="3B1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21089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FC270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E7972"/>
    <w:multiLevelType w:val="multilevel"/>
    <w:tmpl w:val="B9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3"/>
  </w:num>
  <w:num w:numId="2" w16cid:durableId="1017347282">
    <w:abstractNumId w:val="5"/>
  </w:num>
  <w:num w:numId="3" w16cid:durableId="44450645">
    <w:abstractNumId w:val="6"/>
  </w:num>
  <w:num w:numId="4" w16cid:durableId="1953855267">
    <w:abstractNumId w:val="0"/>
  </w:num>
  <w:num w:numId="5" w16cid:durableId="280110805">
    <w:abstractNumId w:val="7"/>
  </w:num>
  <w:num w:numId="6" w16cid:durableId="1238442786">
    <w:abstractNumId w:val="8"/>
  </w:num>
  <w:num w:numId="7" w16cid:durableId="1845389894">
    <w:abstractNumId w:val="9"/>
  </w:num>
  <w:num w:numId="8" w16cid:durableId="1524637247">
    <w:abstractNumId w:val="4"/>
  </w:num>
  <w:num w:numId="9" w16cid:durableId="786660017">
    <w:abstractNumId w:val="1"/>
  </w:num>
  <w:num w:numId="10" w16cid:durableId="14266129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2D84"/>
    <w:rsid w:val="003650D0"/>
    <w:rsid w:val="003A7CEA"/>
    <w:rsid w:val="003E2241"/>
    <w:rsid w:val="004107CA"/>
    <w:rsid w:val="004A51C7"/>
    <w:rsid w:val="005422DF"/>
    <w:rsid w:val="005D08ED"/>
    <w:rsid w:val="005F7A75"/>
    <w:rsid w:val="00605B4C"/>
    <w:rsid w:val="00626E06"/>
    <w:rsid w:val="00630CAC"/>
    <w:rsid w:val="00665846"/>
    <w:rsid w:val="006A249B"/>
    <w:rsid w:val="006E6126"/>
    <w:rsid w:val="00707E60"/>
    <w:rsid w:val="007D1D7D"/>
    <w:rsid w:val="00813F67"/>
    <w:rsid w:val="00844CC8"/>
    <w:rsid w:val="00845F02"/>
    <w:rsid w:val="00855468"/>
    <w:rsid w:val="0092225F"/>
    <w:rsid w:val="009D1F9E"/>
    <w:rsid w:val="00A27409"/>
    <w:rsid w:val="00A55C9A"/>
    <w:rsid w:val="00A60686"/>
    <w:rsid w:val="00A96461"/>
    <w:rsid w:val="00AA7DD4"/>
    <w:rsid w:val="00B20A83"/>
    <w:rsid w:val="00C04706"/>
    <w:rsid w:val="00C942B0"/>
    <w:rsid w:val="00D37EF2"/>
    <w:rsid w:val="00DB14E5"/>
    <w:rsid w:val="00DD0016"/>
    <w:rsid w:val="00E20840"/>
    <w:rsid w:val="00E608BE"/>
    <w:rsid w:val="00F27231"/>
    <w:rsid w:val="00F65205"/>
    <w:rsid w:val="00FD1684"/>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9</cp:revision>
  <dcterms:created xsi:type="dcterms:W3CDTF">2025-10-23T17:12:00Z</dcterms:created>
  <dcterms:modified xsi:type="dcterms:W3CDTF">2025-10-31T21:05:00Z</dcterms:modified>
</cp:coreProperties>
</file>