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33AE1BBE"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676B05">
        <w:rPr>
          <w:color w:val="000000" w:themeColor="text1"/>
          <w:sz w:val="44"/>
          <w:szCs w:val="44"/>
        </w:rPr>
        <w:t>Entrerríos</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58614BA8" w14:textId="77777777" w:rsidR="009F1B63" w:rsidRPr="009F1B63" w:rsidRDefault="009F1B63" w:rsidP="009F1B63">
      <w:pPr>
        <w:spacing w:line="270" w:lineRule="atLeast"/>
        <w:jc w:val="both"/>
        <w:rPr>
          <w:rFonts w:ascii="Aptos" w:hAnsi="Aptos" w:cs="Times New Roman"/>
        </w:rPr>
      </w:pPr>
      <w:r w:rsidRPr="009F1B63">
        <w:rPr>
          <w:rFonts w:ascii="Aptos" w:hAnsi="Aptos" w:cs="Times New Roman"/>
        </w:rPr>
        <w:lastRenderedPageBreak/>
        <w:t>El estado actual de su normatividad tributaria se establece en los Acuerdos 6 de 2019 modificado por los acuerdos:18 de 2021 y 27 de 2022.</w:t>
      </w:r>
    </w:p>
    <w:p w14:paraId="27A05229" w14:textId="77777777" w:rsidR="009F1B63" w:rsidRPr="009F1B63" w:rsidRDefault="009F1B63" w:rsidP="009F1B63">
      <w:pPr>
        <w:spacing w:line="270" w:lineRule="atLeast"/>
        <w:rPr>
          <w:rFonts w:ascii="Aptos" w:hAnsi="Aptos" w:cs="Times New Roman"/>
          <w:b/>
          <w:bCs/>
          <w:sz w:val="32"/>
          <w:szCs w:val="32"/>
        </w:rPr>
      </w:pPr>
      <w:r w:rsidRPr="009F1B63">
        <w:rPr>
          <w:rFonts w:ascii="Aptos" w:hAnsi="Aptos" w:cs="Times New Roman"/>
          <w:b/>
          <w:bCs/>
          <w:sz w:val="32"/>
          <w:szCs w:val="32"/>
        </w:rPr>
        <w:t>Hallazgos</w:t>
      </w:r>
    </w:p>
    <w:p w14:paraId="4C7CB879"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67BDE208" w14:textId="77777777" w:rsidR="009F1B63" w:rsidRPr="009F1B63" w:rsidRDefault="009F1B63" w:rsidP="009F1B63">
      <w:pPr>
        <w:pStyle w:val="ListParagraph"/>
        <w:spacing w:line="270" w:lineRule="atLeast"/>
        <w:rPr>
          <w:rFonts w:ascii="Aptos" w:hAnsi="Aptos" w:cs="Times New Roman"/>
        </w:rPr>
      </w:pPr>
    </w:p>
    <w:p w14:paraId="7A953235"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El impuesto predial se desarrolla desde el artículo 31: autorización legal y naturaleza, definición del impuesto, del avalúo y de los elementos del tributo (hecho generador, sujetos, base). La base y las definiciones remiten a la Resolución 070 de 2011; se requiere armonización con la Resolución 1040 de 2023 para evitar referencias técnicas desactualizadas.</w:t>
      </w:r>
    </w:p>
    <w:p w14:paraId="48B40B46" w14:textId="77777777" w:rsidR="009F1B63" w:rsidRPr="009F1B63" w:rsidRDefault="009F1B63" w:rsidP="009F1B63">
      <w:pPr>
        <w:pStyle w:val="ListParagraph"/>
        <w:rPr>
          <w:rFonts w:ascii="Aptos" w:hAnsi="Aptos" w:cs="Times New Roman"/>
        </w:rPr>
      </w:pPr>
    </w:p>
    <w:p w14:paraId="3E21452F"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La matriz tarifaria (modificada por el Acuerdo 18 de 2021) fija destinos por rangos de avalúo con tarifas entre 3×1.000 y 25×1.000; debe ajustarse a la última resolución catastral sobre destinos económicos.</w:t>
      </w:r>
    </w:p>
    <w:p w14:paraId="1D68043A" w14:textId="77777777" w:rsidR="009F1B63" w:rsidRPr="009F1B63" w:rsidRDefault="009F1B63" w:rsidP="009F1B63">
      <w:pPr>
        <w:pStyle w:val="ListParagraph"/>
        <w:rPr>
          <w:rFonts w:ascii="Aptos" w:hAnsi="Aptos" w:cs="Times New Roman"/>
        </w:rPr>
      </w:pPr>
    </w:p>
    <w:p w14:paraId="3A76EAFB" w14:textId="77777777" w:rsidR="009F1B63" w:rsidRPr="009F1B63" w:rsidRDefault="009F1B63" w:rsidP="009F1B63">
      <w:pPr>
        <w:pStyle w:val="ListParagraph"/>
        <w:spacing w:line="270" w:lineRule="atLeast"/>
        <w:rPr>
          <w:rFonts w:ascii="Aptos" w:hAnsi="Aptos" w:cs="Times New Roman"/>
        </w:rPr>
      </w:pPr>
    </w:p>
    <w:p w14:paraId="7F2164B7"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Para predios con área en perímetros urbano y rural, se liquidan según mayor extensión (urbano o rural) induce liquidaciones que desconocen tratamientos diferenciados por porción; se requiere metodología que respete la zonificación y la distribución de áreas.</w:t>
      </w:r>
    </w:p>
    <w:p w14:paraId="3F21AFE6" w14:textId="77777777" w:rsidR="009F1B63" w:rsidRPr="009F1B63" w:rsidRDefault="009F1B63" w:rsidP="009F1B63">
      <w:pPr>
        <w:pStyle w:val="ListParagraph"/>
        <w:rPr>
          <w:rFonts w:ascii="Aptos" w:hAnsi="Aptos" w:cs="Times New Roman"/>
        </w:rPr>
      </w:pPr>
    </w:p>
    <w:p w14:paraId="0A65E84B" w14:textId="77777777" w:rsidR="009F1B63" w:rsidRPr="009F1B63" w:rsidRDefault="009F1B63" w:rsidP="009F1B63">
      <w:pPr>
        <w:pStyle w:val="ListParagraph"/>
        <w:spacing w:line="270" w:lineRule="atLeast"/>
        <w:rPr>
          <w:rFonts w:ascii="Aptos" w:hAnsi="Aptos" w:cs="Times New Roman"/>
        </w:rPr>
      </w:pPr>
    </w:p>
    <w:p w14:paraId="028D41A4"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Se prevé una tarifa “máxima permitida” cuando edificaciones se destinen a usos no autorizados en el POT; el IPU no es el mecanismo sancionatorio de esas conductas, lo que genera un desajuste técnico.</w:t>
      </w:r>
    </w:p>
    <w:p w14:paraId="001BF37E" w14:textId="77777777" w:rsidR="009F1B63" w:rsidRPr="009F1B63" w:rsidRDefault="009F1B63" w:rsidP="009F1B63">
      <w:pPr>
        <w:pStyle w:val="ListParagraph"/>
        <w:spacing w:line="270" w:lineRule="atLeast"/>
        <w:rPr>
          <w:rFonts w:ascii="Aptos" w:hAnsi="Aptos" w:cs="Times New Roman"/>
        </w:rPr>
      </w:pPr>
    </w:p>
    <w:p w14:paraId="4B58E41E"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El artículo 39 del Acuerdo 6 de 2019 fija un “tope máximo” para el cobro del IPU en el año en que entran a regir modificaciones de tarifas y lo ata a “no más del 100 % del monto liquidado el año anterior”. La redacción confunde el límite aplicable por actualización del avalúo catastral con el que corresponde a modificación de tarifas, lo que puede conducir a aplicar topes incorrectos y a inconsistencias en la liquidación.</w:t>
      </w:r>
    </w:p>
    <w:p w14:paraId="2C343E57" w14:textId="77777777" w:rsidR="009F1B63" w:rsidRPr="009F1B63" w:rsidRDefault="009F1B63" w:rsidP="009F1B63">
      <w:pPr>
        <w:pStyle w:val="ListParagraph"/>
        <w:rPr>
          <w:rFonts w:ascii="Aptos" w:hAnsi="Aptos" w:cs="Times New Roman"/>
        </w:rPr>
      </w:pPr>
    </w:p>
    <w:p w14:paraId="6B486B51" w14:textId="77777777" w:rsidR="009F1B63" w:rsidRPr="009F1B63" w:rsidRDefault="009F1B63" w:rsidP="009F1B63">
      <w:pPr>
        <w:pStyle w:val="ListParagraph"/>
        <w:spacing w:line="270" w:lineRule="atLeast"/>
        <w:rPr>
          <w:rFonts w:ascii="Aptos" w:hAnsi="Aptos" w:cs="Times New Roman"/>
        </w:rPr>
      </w:pPr>
    </w:p>
    <w:p w14:paraId="5449E8DA"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Determinación oficial vía factura, pago trimestral y pronto pago del 10 % hasta febrero; conviene mayor precisión sobre contenido mínimo de la factura, notificación (incluida electrónica) y ejecutividad.</w:t>
      </w:r>
    </w:p>
    <w:p w14:paraId="3276D8B9" w14:textId="77777777" w:rsidR="009F1B63" w:rsidRPr="009F1B63" w:rsidRDefault="009F1B63" w:rsidP="009F1B63">
      <w:pPr>
        <w:rPr>
          <w:rFonts w:ascii="Aptos" w:hAnsi="Aptos" w:cs="Times New Roman"/>
        </w:rPr>
      </w:pPr>
    </w:p>
    <w:p w14:paraId="14650FC5" w14:textId="77777777" w:rsidR="009F1B63" w:rsidRPr="009F1B63" w:rsidRDefault="009F1B63" w:rsidP="009F1B63">
      <w:pPr>
        <w:pStyle w:val="ListParagraph"/>
        <w:spacing w:line="270" w:lineRule="atLeast"/>
        <w:rPr>
          <w:rFonts w:ascii="Aptos" w:hAnsi="Aptos" w:cs="Times New Roman"/>
        </w:rPr>
      </w:pPr>
    </w:p>
    <w:p w14:paraId="041AB4E3"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Sobretasa bomberil del 2,5 % sobre el ingreso del IPU; al depender del valor del IPU, su variación queda sujeta a los límites del propio impuesto y requiere orden de cálculo y giros claro.</w:t>
      </w:r>
    </w:p>
    <w:p w14:paraId="0F9A2469" w14:textId="77777777" w:rsidR="009F1B63" w:rsidRPr="009F1B63" w:rsidRDefault="009F1B63" w:rsidP="009F1B63">
      <w:pPr>
        <w:pStyle w:val="ListParagraph"/>
        <w:spacing w:line="270" w:lineRule="atLeast"/>
        <w:rPr>
          <w:rFonts w:ascii="Aptos" w:hAnsi="Aptos" w:cs="Times New Roman"/>
        </w:rPr>
      </w:pPr>
    </w:p>
    <w:p w14:paraId="27738F9C"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No se establece sobretasa de alumbrado público sobre avalúo catastral; debe aclararse el esquema vigente para evitar interpretaciones o cobros sin soporte en el predial.</w:t>
      </w:r>
    </w:p>
    <w:p w14:paraId="175927BF" w14:textId="77777777" w:rsidR="009F1B63" w:rsidRPr="009F1B63" w:rsidRDefault="009F1B63" w:rsidP="009F1B63">
      <w:pPr>
        <w:pStyle w:val="ListParagraph"/>
        <w:rPr>
          <w:rFonts w:ascii="Aptos" w:hAnsi="Aptos" w:cs="Times New Roman"/>
        </w:rPr>
      </w:pPr>
    </w:p>
    <w:p w14:paraId="52567638" w14:textId="77777777" w:rsidR="009F1B63" w:rsidRPr="009F1B63" w:rsidRDefault="009F1B63" w:rsidP="009F1B63">
      <w:pPr>
        <w:pStyle w:val="ListParagraph"/>
        <w:spacing w:line="270" w:lineRule="atLeast"/>
        <w:rPr>
          <w:rFonts w:ascii="Aptos" w:hAnsi="Aptos" w:cs="Times New Roman"/>
        </w:rPr>
      </w:pPr>
    </w:p>
    <w:p w14:paraId="5A022626" w14:textId="77777777" w:rsidR="009F1B63" w:rsidRPr="009F1B63" w:rsidRDefault="009F1B63" w:rsidP="009F1B63">
      <w:pPr>
        <w:pStyle w:val="ListParagraph"/>
        <w:rPr>
          <w:rFonts w:ascii="Aptos" w:hAnsi="Aptos" w:cs="Times New Roman"/>
        </w:rPr>
      </w:pPr>
    </w:p>
    <w:p w14:paraId="1F7E578C"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Sobretasa bomberil y ambiental: Regular límites al incremento, para evitar cobros desbordados producto de procesos de actualización catastral o rezago.</w:t>
      </w:r>
    </w:p>
    <w:p w14:paraId="6C541E25" w14:textId="77777777" w:rsidR="009F1B63" w:rsidRPr="009F1B63" w:rsidRDefault="009F1B63" w:rsidP="009F1B63">
      <w:pPr>
        <w:spacing w:line="270" w:lineRule="atLeast"/>
        <w:rPr>
          <w:rFonts w:ascii="Aptos" w:hAnsi="Aptos" w:cs="Times New Roman"/>
        </w:rPr>
      </w:pPr>
    </w:p>
    <w:p w14:paraId="72155312" w14:textId="77777777" w:rsidR="009F1B63" w:rsidRPr="009F1B63" w:rsidRDefault="009F1B63" w:rsidP="009F1B63">
      <w:pPr>
        <w:spacing w:line="270" w:lineRule="atLeast"/>
        <w:rPr>
          <w:rFonts w:ascii="Aptos" w:hAnsi="Aptos" w:cs="Times New Roman"/>
          <w:b/>
          <w:bCs/>
          <w:sz w:val="32"/>
          <w:szCs w:val="32"/>
        </w:rPr>
      </w:pPr>
      <w:r w:rsidRPr="009F1B63">
        <w:rPr>
          <w:rFonts w:ascii="Aptos" w:hAnsi="Aptos" w:cs="Times New Roman"/>
          <w:b/>
          <w:bCs/>
          <w:sz w:val="32"/>
          <w:szCs w:val="32"/>
        </w:rPr>
        <w:t>Recomendaciones</w:t>
      </w:r>
    </w:p>
    <w:p w14:paraId="3720CD74"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Adelantar un proceso de actualización normativa que permita armonizar la regulación con las disposiciones nacionales más recientes. En particular, es prioritario adoptar la Resolución 1040 de 2023 en materia catastral y actualizar la tabla de destinos económicos conforme a la Resolución 2025060163216, de modo que todos los destinos del modelo LADM-COL v4.1 cuenten con tarifa definida y se evite pérdida de ingresos fiscales.</w:t>
      </w:r>
    </w:p>
    <w:p w14:paraId="0076B4FC" w14:textId="77777777" w:rsidR="009F1B63" w:rsidRPr="009F1B63" w:rsidRDefault="009F1B63" w:rsidP="009F1B63">
      <w:pPr>
        <w:pStyle w:val="ListParagraph"/>
        <w:spacing w:line="270" w:lineRule="atLeast"/>
        <w:rPr>
          <w:rFonts w:ascii="Aptos" w:hAnsi="Aptos" w:cs="Times New Roman"/>
        </w:rPr>
      </w:pPr>
    </w:p>
    <w:p w14:paraId="6509D2DA"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Sustituir remisiones técnicas de 2011 por el marco multipropósito vigente (</w:t>
      </w:r>
      <w:proofErr w:type="spellStart"/>
      <w:r w:rsidRPr="009F1B63">
        <w:rPr>
          <w:rFonts w:ascii="Aptos" w:hAnsi="Aptos" w:cs="Times New Roman"/>
        </w:rPr>
        <w:t>autoavalúo</w:t>
      </w:r>
      <w:proofErr w:type="spellEnd"/>
      <w:r w:rsidRPr="009F1B63">
        <w:rPr>
          <w:rFonts w:ascii="Aptos" w:hAnsi="Aptos" w:cs="Times New Roman"/>
        </w:rPr>
        <w:t>, mutaciones, clasificaciones, aprobaciones) y publicar instructivos operativos.</w:t>
      </w:r>
    </w:p>
    <w:p w14:paraId="44EAF4F3" w14:textId="77777777" w:rsidR="009F1B63" w:rsidRPr="009F1B63" w:rsidRDefault="009F1B63" w:rsidP="009F1B63">
      <w:pPr>
        <w:pStyle w:val="ListParagraph"/>
        <w:rPr>
          <w:rFonts w:ascii="Aptos" w:hAnsi="Aptos" w:cs="Times New Roman"/>
        </w:rPr>
      </w:pPr>
    </w:p>
    <w:p w14:paraId="04C3E7F8" w14:textId="77777777" w:rsidR="009F1B63" w:rsidRPr="009F1B63" w:rsidRDefault="009F1B63" w:rsidP="009F1B63">
      <w:pPr>
        <w:pStyle w:val="ListParagraph"/>
        <w:spacing w:line="270" w:lineRule="atLeast"/>
        <w:rPr>
          <w:rFonts w:ascii="Aptos" w:hAnsi="Aptos" w:cs="Times New Roman"/>
        </w:rPr>
      </w:pPr>
    </w:p>
    <w:p w14:paraId="6AA6D8D4"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Predios con área en perímetros urbano y rural, deben liquidar el Impuesto Predial por porciones del predio según su localización y zonificación (urbano, rural, etc.), aplicando a cada porción la tarifa que le corresponda conforme a la matriz tarifaria vigente</w:t>
      </w:r>
    </w:p>
    <w:p w14:paraId="1DD91EA6" w14:textId="77777777" w:rsidR="009F1B63" w:rsidRPr="009F1B63" w:rsidRDefault="009F1B63" w:rsidP="009F1B63">
      <w:pPr>
        <w:pStyle w:val="ListParagraph"/>
        <w:spacing w:line="270" w:lineRule="atLeast"/>
        <w:rPr>
          <w:rFonts w:ascii="Aptos" w:hAnsi="Aptos" w:cs="Times New Roman"/>
        </w:rPr>
      </w:pPr>
    </w:p>
    <w:p w14:paraId="2D7993C8"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Derogar la “sanción por tarifa” para usos contrarios al POT y tramitar esas conductas por el régimen sancionatorio urbanístico.</w:t>
      </w:r>
    </w:p>
    <w:p w14:paraId="2C273274" w14:textId="77777777" w:rsidR="009F1B63" w:rsidRPr="009F1B63" w:rsidRDefault="009F1B63" w:rsidP="009F1B63">
      <w:pPr>
        <w:pStyle w:val="ListParagraph"/>
        <w:rPr>
          <w:rFonts w:ascii="Aptos" w:hAnsi="Aptos" w:cs="Times New Roman"/>
        </w:rPr>
      </w:pPr>
    </w:p>
    <w:p w14:paraId="76C75AF6"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 xml:space="preserve">Reformular el artículo 39 para separar con precisión los dos supuestos: (i) actualización catastral, aplicando el límite anual previsto en la ley vigente; y (ii) modificación de tarifas, aplicando el tope propio para cambios tarifarios sobre el impuesto del año anterior. </w:t>
      </w:r>
    </w:p>
    <w:p w14:paraId="58F992DD" w14:textId="77777777" w:rsidR="009F1B63" w:rsidRPr="009F1B63" w:rsidRDefault="009F1B63" w:rsidP="009F1B63">
      <w:pPr>
        <w:pStyle w:val="ListParagraph"/>
        <w:rPr>
          <w:rFonts w:ascii="Aptos" w:hAnsi="Aptos" w:cs="Times New Roman"/>
        </w:rPr>
      </w:pPr>
    </w:p>
    <w:p w14:paraId="79842018" w14:textId="77777777" w:rsidR="009F1B63" w:rsidRPr="009F1B63" w:rsidRDefault="009F1B63" w:rsidP="009F1B63">
      <w:pPr>
        <w:pStyle w:val="ListParagraph"/>
        <w:spacing w:line="270" w:lineRule="atLeast"/>
        <w:rPr>
          <w:rFonts w:ascii="Aptos" w:hAnsi="Aptos" w:cs="Times New Roman"/>
        </w:rPr>
      </w:pPr>
    </w:p>
    <w:p w14:paraId="5CD02391"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Precisar la determinación oficial vía factura (contenido mínimo, notificación incluida la electrónica, calendario tributario y recursos) para asegurar ejecutividad y trazabilidad del pronto pago.</w:t>
      </w:r>
    </w:p>
    <w:p w14:paraId="37F14C44" w14:textId="77777777" w:rsidR="009F1B63" w:rsidRPr="009F1B63" w:rsidRDefault="009F1B63" w:rsidP="009F1B63">
      <w:pPr>
        <w:pStyle w:val="ListParagraph"/>
        <w:spacing w:line="270" w:lineRule="atLeast"/>
        <w:rPr>
          <w:rFonts w:ascii="Aptos" w:hAnsi="Aptos" w:cs="Times New Roman"/>
        </w:rPr>
      </w:pPr>
    </w:p>
    <w:p w14:paraId="3F079755" w14:textId="77777777" w:rsidR="009F1B63" w:rsidRPr="009F1B63" w:rsidRDefault="009F1B63" w:rsidP="009F1B63">
      <w:pPr>
        <w:pStyle w:val="ListParagraph"/>
        <w:widowControl w:val="0"/>
        <w:numPr>
          <w:ilvl w:val="0"/>
          <w:numId w:val="39"/>
        </w:numPr>
        <w:spacing w:after="0" w:line="270" w:lineRule="atLeast"/>
        <w:contextualSpacing w:val="0"/>
        <w:jc w:val="both"/>
        <w:rPr>
          <w:rFonts w:ascii="Aptos" w:hAnsi="Aptos" w:cs="Times New Roman"/>
        </w:rPr>
      </w:pPr>
      <w:r w:rsidRPr="009F1B63">
        <w:rPr>
          <w:rFonts w:ascii="Aptos" w:hAnsi="Aptos" w:cs="Times New Roman"/>
        </w:rPr>
        <w:t>Sobretasa bomberil y ambiental: Regular límites al incremento, para evitar cobros desbordados producto de procesos de actualización catastral o rezago.</w:t>
      </w:r>
    </w:p>
    <w:p w14:paraId="59F5D9C1" w14:textId="77777777" w:rsidR="00707E60" w:rsidRPr="000A5758"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67452" w14:textId="77777777" w:rsidR="004E38D4" w:rsidRDefault="004E38D4" w:rsidP="00707E60">
      <w:pPr>
        <w:spacing w:after="0" w:line="240" w:lineRule="auto"/>
      </w:pPr>
      <w:r>
        <w:separator/>
      </w:r>
    </w:p>
  </w:endnote>
  <w:endnote w:type="continuationSeparator" w:id="0">
    <w:p w14:paraId="3AF3874E" w14:textId="77777777" w:rsidR="004E38D4" w:rsidRDefault="004E38D4"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F1F39" w14:textId="77777777" w:rsidR="004E38D4" w:rsidRDefault="004E38D4" w:rsidP="00707E60">
      <w:pPr>
        <w:spacing w:after="0" w:line="240" w:lineRule="auto"/>
      </w:pPr>
      <w:r>
        <w:separator/>
      </w:r>
    </w:p>
  </w:footnote>
  <w:footnote w:type="continuationSeparator" w:id="0">
    <w:p w14:paraId="7D3C9597" w14:textId="77777777" w:rsidR="004E38D4" w:rsidRDefault="004E38D4"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15A4008C"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676B05">
                            <w:rPr>
                              <w:color w:val="000000" w:themeColor="text1"/>
                              <w:sz w:val="28"/>
                              <w:szCs w:val="28"/>
                            </w:rPr>
                            <w:t>Entrerríos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15A4008C"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676B05">
                      <w:rPr>
                        <w:color w:val="000000" w:themeColor="text1"/>
                        <w:sz w:val="28"/>
                        <w:szCs w:val="28"/>
                      </w:rPr>
                      <w:t>Entrerríos</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B8C"/>
    <w:multiLevelType w:val="hybridMultilevel"/>
    <w:tmpl w:val="F3ACD1F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6254D"/>
    <w:multiLevelType w:val="hybridMultilevel"/>
    <w:tmpl w:val="8CE80F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0024D8A"/>
    <w:multiLevelType w:val="hybridMultilevel"/>
    <w:tmpl w:val="EC0A02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09F6999"/>
    <w:multiLevelType w:val="hybridMultilevel"/>
    <w:tmpl w:val="D152BB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2D409DF"/>
    <w:multiLevelType w:val="multilevel"/>
    <w:tmpl w:val="A122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C20BBA"/>
    <w:multiLevelType w:val="multilevel"/>
    <w:tmpl w:val="0048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C3475C"/>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7C7ECF"/>
    <w:multiLevelType w:val="hybridMultilevel"/>
    <w:tmpl w:val="22F0A7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DB7B2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1E7BEA"/>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E62793"/>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8C01C3"/>
    <w:multiLevelType w:val="hybridMultilevel"/>
    <w:tmpl w:val="AC9A32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F997892"/>
    <w:multiLevelType w:val="multilevel"/>
    <w:tmpl w:val="8280E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2C6DE2"/>
    <w:multiLevelType w:val="multilevel"/>
    <w:tmpl w:val="6BF2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B2B40"/>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F47F6"/>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B00E25"/>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EA4E6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5A54FD"/>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1F4DAA"/>
    <w:multiLevelType w:val="multilevel"/>
    <w:tmpl w:val="C4D4A47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B250DE"/>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1F507A"/>
    <w:multiLevelType w:val="multilevel"/>
    <w:tmpl w:val="579EC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750FC5"/>
    <w:multiLevelType w:val="multilevel"/>
    <w:tmpl w:val="F252FA2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12"/>
  </w:num>
  <w:num w:numId="2" w16cid:durableId="1017347282">
    <w:abstractNumId w:val="18"/>
  </w:num>
  <w:num w:numId="3" w16cid:durableId="44450645">
    <w:abstractNumId w:val="29"/>
  </w:num>
  <w:num w:numId="4" w16cid:durableId="1953855267">
    <w:abstractNumId w:val="1"/>
  </w:num>
  <w:num w:numId="5" w16cid:durableId="279457733">
    <w:abstractNumId w:val="14"/>
  </w:num>
  <w:num w:numId="6" w16cid:durableId="829055416">
    <w:abstractNumId w:val="2"/>
  </w:num>
  <w:num w:numId="7" w16cid:durableId="1974747392">
    <w:abstractNumId w:val="10"/>
  </w:num>
  <w:num w:numId="8" w16cid:durableId="1342120387">
    <w:abstractNumId w:val="24"/>
  </w:num>
  <w:num w:numId="9" w16cid:durableId="350257001">
    <w:abstractNumId w:val="9"/>
  </w:num>
  <w:num w:numId="10" w16cid:durableId="1078140204">
    <w:abstractNumId w:val="15"/>
  </w:num>
  <w:num w:numId="11" w16cid:durableId="1792938771">
    <w:abstractNumId w:val="16"/>
  </w:num>
  <w:num w:numId="12" w16cid:durableId="1526560268">
    <w:abstractNumId w:val="33"/>
  </w:num>
  <w:num w:numId="13" w16cid:durableId="684139451">
    <w:abstractNumId w:val="35"/>
  </w:num>
  <w:num w:numId="14" w16cid:durableId="2066485375">
    <w:abstractNumId w:val="36"/>
  </w:num>
  <w:num w:numId="15" w16cid:durableId="1048799774">
    <w:abstractNumId w:val="7"/>
  </w:num>
  <w:num w:numId="16" w16cid:durableId="763765178">
    <w:abstractNumId w:val="20"/>
  </w:num>
  <w:num w:numId="17" w16cid:durableId="312298011">
    <w:abstractNumId w:val="28"/>
  </w:num>
  <w:num w:numId="18" w16cid:durableId="1720469911">
    <w:abstractNumId w:val="21"/>
  </w:num>
  <w:num w:numId="19" w16cid:durableId="435371494">
    <w:abstractNumId w:val="26"/>
  </w:num>
  <w:num w:numId="20" w16cid:durableId="295719448">
    <w:abstractNumId w:val="27"/>
  </w:num>
  <w:num w:numId="21" w16cid:durableId="1577745992">
    <w:abstractNumId w:val="17"/>
  </w:num>
  <w:num w:numId="22" w16cid:durableId="1267925568">
    <w:abstractNumId w:val="31"/>
  </w:num>
  <w:num w:numId="23" w16cid:durableId="1861967186">
    <w:abstractNumId w:val="11"/>
  </w:num>
  <w:num w:numId="24" w16cid:durableId="601374337">
    <w:abstractNumId w:val="32"/>
  </w:num>
  <w:num w:numId="25" w16cid:durableId="1162700760">
    <w:abstractNumId w:val="34"/>
  </w:num>
  <w:num w:numId="26" w16cid:durableId="581332385">
    <w:abstractNumId w:val="19"/>
  </w:num>
  <w:num w:numId="27" w16cid:durableId="423887808">
    <w:abstractNumId w:val="30"/>
  </w:num>
  <w:num w:numId="28" w16cid:durableId="1186863597">
    <w:abstractNumId w:val="38"/>
  </w:num>
  <w:num w:numId="29" w16cid:durableId="340359362">
    <w:abstractNumId w:val="3"/>
  </w:num>
  <w:num w:numId="30" w16cid:durableId="1619264905">
    <w:abstractNumId w:val="4"/>
  </w:num>
  <w:num w:numId="31" w16cid:durableId="97989699">
    <w:abstractNumId w:val="13"/>
  </w:num>
  <w:num w:numId="32" w16cid:durableId="55206863">
    <w:abstractNumId w:val="22"/>
  </w:num>
  <w:num w:numId="33" w16cid:durableId="2040545959">
    <w:abstractNumId w:val="25"/>
  </w:num>
  <w:num w:numId="34" w16cid:durableId="437526546">
    <w:abstractNumId w:val="23"/>
  </w:num>
  <w:num w:numId="35" w16cid:durableId="1634217144">
    <w:abstractNumId w:val="6"/>
  </w:num>
  <w:num w:numId="36" w16cid:durableId="1333920831">
    <w:abstractNumId w:val="37"/>
  </w:num>
  <w:num w:numId="37" w16cid:durableId="195700225">
    <w:abstractNumId w:val="8"/>
  </w:num>
  <w:num w:numId="38" w16cid:durableId="1408452011">
    <w:abstractNumId w:val="0"/>
  </w:num>
  <w:num w:numId="39" w16cid:durableId="19496579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5161C"/>
    <w:rsid w:val="00084B98"/>
    <w:rsid w:val="000A5758"/>
    <w:rsid w:val="000C571B"/>
    <w:rsid w:val="00120797"/>
    <w:rsid w:val="00134527"/>
    <w:rsid w:val="001665FB"/>
    <w:rsid w:val="001C6F8E"/>
    <w:rsid w:val="0020023A"/>
    <w:rsid w:val="00211E44"/>
    <w:rsid w:val="00231736"/>
    <w:rsid w:val="0023618C"/>
    <w:rsid w:val="0031580C"/>
    <w:rsid w:val="0034535B"/>
    <w:rsid w:val="003650D0"/>
    <w:rsid w:val="003A7CEA"/>
    <w:rsid w:val="003E2241"/>
    <w:rsid w:val="003E2F94"/>
    <w:rsid w:val="004107CA"/>
    <w:rsid w:val="004E36A0"/>
    <w:rsid w:val="004E38D4"/>
    <w:rsid w:val="005422DF"/>
    <w:rsid w:val="00544342"/>
    <w:rsid w:val="00596DA3"/>
    <w:rsid w:val="005C3FCA"/>
    <w:rsid w:val="005D08ED"/>
    <w:rsid w:val="005F7A75"/>
    <w:rsid w:val="00605B4C"/>
    <w:rsid w:val="006348C8"/>
    <w:rsid w:val="00665846"/>
    <w:rsid w:val="00676B05"/>
    <w:rsid w:val="006A249B"/>
    <w:rsid w:val="006A428E"/>
    <w:rsid w:val="006D6F1E"/>
    <w:rsid w:val="006E68D4"/>
    <w:rsid w:val="00701CC9"/>
    <w:rsid w:val="00707E60"/>
    <w:rsid w:val="00723620"/>
    <w:rsid w:val="00740366"/>
    <w:rsid w:val="0075330F"/>
    <w:rsid w:val="007C2E1E"/>
    <w:rsid w:val="007D1D7D"/>
    <w:rsid w:val="00813F67"/>
    <w:rsid w:val="00844CC8"/>
    <w:rsid w:val="00845F02"/>
    <w:rsid w:val="00855468"/>
    <w:rsid w:val="00933720"/>
    <w:rsid w:val="009D1788"/>
    <w:rsid w:val="009D1F9E"/>
    <w:rsid w:val="009F1B63"/>
    <w:rsid w:val="00A27409"/>
    <w:rsid w:val="00A53B01"/>
    <w:rsid w:val="00A55C9A"/>
    <w:rsid w:val="00A60686"/>
    <w:rsid w:val="00A96461"/>
    <w:rsid w:val="00AA7DD4"/>
    <w:rsid w:val="00B01FF5"/>
    <w:rsid w:val="00B34D3F"/>
    <w:rsid w:val="00B9278F"/>
    <w:rsid w:val="00B9597A"/>
    <w:rsid w:val="00BC7035"/>
    <w:rsid w:val="00BE3801"/>
    <w:rsid w:val="00C04706"/>
    <w:rsid w:val="00C24423"/>
    <w:rsid w:val="00C3440A"/>
    <w:rsid w:val="00C4509C"/>
    <w:rsid w:val="00C83B1D"/>
    <w:rsid w:val="00C942B0"/>
    <w:rsid w:val="00D37EF2"/>
    <w:rsid w:val="00DB14E5"/>
    <w:rsid w:val="00DD0016"/>
    <w:rsid w:val="00E20762"/>
    <w:rsid w:val="00E20840"/>
    <w:rsid w:val="00E608BE"/>
    <w:rsid w:val="00F27231"/>
    <w:rsid w:val="00F65205"/>
    <w:rsid w:val="00FA454C"/>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671</Words>
  <Characters>3825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26</cp:revision>
  <dcterms:created xsi:type="dcterms:W3CDTF">2025-10-23T17:12:00Z</dcterms:created>
  <dcterms:modified xsi:type="dcterms:W3CDTF">2025-10-30T14:41:00Z</dcterms:modified>
</cp:coreProperties>
</file>