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7DBE6DD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10A1D">
        <w:rPr>
          <w:color w:val="000000" w:themeColor="text1"/>
          <w:sz w:val="44"/>
          <w:szCs w:val="44"/>
        </w:rPr>
        <w:t>Guarne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3C7F2D4A" w14:textId="77777777" w:rsidR="00872D32" w:rsidRPr="00872D32" w:rsidRDefault="00872D32" w:rsidP="00872D32">
      <w:pPr>
        <w:spacing w:line="360" w:lineRule="auto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lastRenderedPageBreak/>
        <w:t>El estado actual de su normatividad tributaria se establece a partir del Acuerdo 13 de 2023.</w:t>
      </w:r>
    </w:p>
    <w:p w14:paraId="75F94FDD" w14:textId="77777777" w:rsidR="00872D32" w:rsidRPr="00872D32" w:rsidRDefault="00872D32" w:rsidP="00872D32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872D32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7879C545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7291EF29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Los procedimientos catastrales se refieren genéricamente a “ajustes” pero no se evidencia adopción expresa y completa del marco operativo vigente (Resolución 1040 de 2023 del IGAC) ni su articulación con el modelo LADM-COL v4.1; además, en la práctica interna se alude como “decreto”, lo cual es impreciso y puede generar errores de aplicación.</w:t>
      </w:r>
    </w:p>
    <w:p w14:paraId="6390E4EA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La matriz tarifaria se estructura por destinación económica con diferenciación urbano/rural y bandas por rangos de avalúo; no obstante, los destinos y descriptores no aparecen homologados a la última resolución departamental de catastro de 2025, lo que abre riesgo de vacíos tarifarios y solapamientos.</w:t>
      </w:r>
    </w:p>
    <w:p w14:paraId="48AAC9F0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Regla para predios que abarcan simultáneamente suelo urbano y rural: se ubican “donde tengan mayor extensión” para efectos de cobro. Este criterio, sin anclaje en la unidad predial y sin certificación de la autoridad catastral, puede contradecir la ubicación catastral oficial y producir tratamientos dispares.</w:t>
      </w:r>
    </w:p>
    <w:p w14:paraId="5B11C95D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Se incorpora un “castigo” o sanción atada a usos no autorizados por el PBOT o a discrepancias entre valor comercial y licenciamiento de proyectos de vivienda de interés prioritario, configurando un régimen sancionatorio dentro del IPU sin hecho generador propio ni competencia tributaria definida.</w:t>
      </w:r>
    </w:p>
    <w:p w14:paraId="5466D212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Se dispone que cuartos útiles y parqueaderos adopten la misma tarifa del predio principal. La solución desconoce la tipología constructiva y los tratamientos diferenciados (bienes privados/comunes en PH, destinaciones complementarias) y puede producir sobre-o sub-tributación.</w:t>
      </w:r>
    </w:p>
    <w:p w14:paraId="0795DBDA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 xml:space="preserve">Pago del impuesto en cuatro cuotas y, adicionalmente, liquidación en un solo documento cuando el “valor” del predio sea igual o inferior a 100 UVT. No queda claro si el umbral se </w:t>
      </w:r>
      <w:r w:rsidRPr="00872D32">
        <w:rPr>
          <w:rFonts w:ascii="Aptos" w:hAnsi="Aptos" w:cs="Times New Roman"/>
        </w:rPr>
        <w:lastRenderedPageBreak/>
        <w:t>refiere a avalúo, impuesto causado u otra magnitud; la ambigüedad afecta la seguridad jurídica y la igualdad tributaria.</w:t>
      </w:r>
    </w:p>
    <w:p w14:paraId="1B1FEF79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Límites del IPU: se menciona sujeción a Ley 44 de 1990 y Ley 1995 de 2019, pero no se observa un esquema de gradualidad diferenciado para escenarios de actualización y de rezago catastral, ni lineamientos operativos para excepciones (lotes no edificados, incorporaciones nuevas, edificaciones nuevas).</w:t>
      </w:r>
    </w:p>
    <w:p w14:paraId="3332AE0E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Determinación y notificación: aunque se habla de “documento de cobro”, no se aprecia un desarrollo completo del mérito ejecutivo de la factura ni del protocolo de notificación (domicilio electrónico, aviso y publicación), con el riesgo de nulidades por notificación irregular.</w:t>
      </w:r>
    </w:p>
    <w:p w14:paraId="3A4C124C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Sobretasa ambiental fijada en 1,5‰ sobre el IPU</w:t>
      </w:r>
    </w:p>
    <w:p w14:paraId="1366C4D4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Beneficios, exoneraciones, tarifas especiales y condonaciones: el estatuto dedica un libro completo con listados amplios y repetidos por tipo de entidad, lo que genera inseguridad jurídica, riesgo de tratamientos duplicados y ausencia de estimación del costo fiscal y reglas de incompatibilidad.</w:t>
      </w:r>
    </w:p>
    <w:p w14:paraId="6899BCF9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Existen beneficios por conservación ambiental/uso del suelo y listados de inmuebles de prohibido gravamen. La separación conceptual entre “prohibido gravamen” y “beneficio/exención” no es nítida.</w:t>
      </w:r>
    </w:p>
    <w:p w14:paraId="6CF392FE" w14:textId="77777777" w:rsidR="00872D32" w:rsidRPr="00872D32" w:rsidRDefault="00872D32" w:rsidP="00872D32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872D32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575B01C0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595EF6BE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Adoptar, por acto expreso, la Resolución 1040 de 2023 del IGAC como marco operativo de procedimientos, definiciones y nomenclaturas, y alinearla con el modelo LADM-COL v4.1; corregir toda referencia errónea a “decreto”.</w:t>
      </w:r>
    </w:p>
    <w:p w14:paraId="2B2CC89E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 xml:space="preserve">Sustituir la regla de “mayor extensión” por una regla basada en la unidad predial y la ubicación catastral certificada por la autoridad competente; cuando exista doble condición </w:t>
      </w:r>
      <w:r w:rsidRPr="00872D32">
        <w:rPr>
          <w:rFonts w:ascii="Aptos" w:hAnsi="Aptos" w:cs="Times New Roman"/>
        </w:rPr>
        <w:lastRenderedPageBreak/>
        <w:t>urbano/rural, definir criterio objetivo y probatorio (certificación catastral) y su forma de acreditación.</w:t>
      </w:r>
    </w:p>
    <w:p w14:paraId="701916F5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Eliminar del capítulo del IPU el “castigo” por usos no autorizados o por divergencias entre valor comercial y licenciamiento; si se requiere control, encauzarlo por el régimen urbanístico y de control de obra, no como sanción tributaria del predial.</w:t>
      </w:r>
    </w:p>
    <w:p w14:paraId="0D92B2BD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Redefinir el tratamiento de cuartos útiles y parqueaderos: clasificar según su condición (bienes privados o comunes en PH, complementarios), su destinación y, cuando corresponda, su sujeción o exclusión; evitar la equiparación automática a la tarifa del predio principal.</w:t>
      </w:r>
    </w:p>
    <w:p w14:paraId="4FDFA831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Precisar el umbral de 100 UVT: indicar con exactitud si aplica a avalúo catastral, impuesto causado u otra variable; justificar su finalidad (eficiencia administrativa) y verificar que no produzca trato desigual injustificado. Documentar su impacto en el recaudo.</w:t>
      </w:r>
    </w:p>
    <w:p w14:paraId="52444E18" w14:textId="4ECE954D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Incorporar límites y un esquema de transición/gradualidad para procesos de actualización y rezago catastral y de igual manera aplicar estas limitantes a las sobretasas atadas al IPU o al avaluó catastral.</w:t>
      </w:r>
    </w:p>
    <w:p w14:paraId="2174D6F2" w14:textId="77777777" w:rsidR="00872D32" w:rsidRPr="00872D32" w:rsidRDefault="00872D32" w:rsidP="00872D32">
      <w:pPr>
        <w:numPr>
          <w:ilvl w:val="0"/>
          <w:numId w:val="19"/>
        </w:numPr>
        <w:spacing w:line="360" w:lineRule="auto"/>
        <w:jc w:val="both"/>
        <w:rPr>
          <w:rFonts w:ascii="Aptos" w:hAnsi="Aptos" w:cs="Times New Roman"/>
        </w:rPr>
      </w:pPr>
      <w:r w:rsidRPr="00872D32">
        <w:rPr>
          <w:rFonts w:ascii="Aptos" w:hAnsi="Aptos" w:cs="Times New Roman"/>
        </w:rPr>
        <w:t>Fortalecer la determinación por factura con mérito ejecutivo: contenido mínimo, adopción (o no) de domicilio electrónico por acto específico, protocolos de notificación por aviso y publicación, archivo de evidencias y cadena de custodia.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1F60" w14:textId="77777777" w:rsidR="007262C4" w:rsidRDefault="007262C4" w:rsidP="00707E60">
      <w:pPr>
        <w:spacing w:after="0" w:line="240" w:lineRule="auto"/>
      </w:pPr>
      <w:r>
        <w:separator/>
      </w:r>
    </w:p>
  </w:endnote>
  <w:endnote w:type="continuationSeparator" w:id="0">
    <w:p w14:paraId="632D88A3" w14:textId="77777777" w:rsidR="007262C4" w:rsidRDefault="007262C4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B5C0" w14:textId="77777777" w:rsidR="007262C4" w:rsidRDefault="007262C4" w:rsidP="00707E60">
      <w:pPr>
        <w:spacing w:after="0" w:line="240" w:lineRule="auto"/>
      </w:pPr>
      <w:r>
        <w:separator/>
      </w:r>
    </w:p>
  </w:footnote>
  <w:footnote w:type="continuationSeparator" w:id="0">
    <w:p w14:paraId="4D225FEC" w14:textId="77777777" w:rsidR="007262C4" w:rsidRDefault="007262C4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1CCDBF1C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210A1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Guarne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1CCDBF1C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210A1D">
                      <w:rPr>
                        <w:color w:val="000000" w:themeColor="text1"/>
                        <w:sz w:val="28"/>
                        <w:szCs w:val="28"/>
                      </w:rPr>
                      <w:t>Guarne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07E97"/>
    <w:multiLevelType w:val="hybridMultilevel"/>
    <w:tmpl w:val="5FAA7C9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340287"/>
    <w:multiLevelType w:val="hybridMultilevel"/>
    <w:tmpl w:val="300EF58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42A91"/>
    <w:multiLevelType w:val="multilevel"/>
    <w:tmpl w:val="52E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5"/>
  </w:num>
  <w:num w:numId="2" w16cid:durableId="1017347282">
    <w:abstractNumId w:val="9"/>
  </w:num>
  <w:num w:numId="3" w16cid:durableId="44450645">
    <w:abstractNumId w:val="14"/>
  </w:num>
  <w:num w:numId="4" w16cid:durableId="1953855267">
    <w:abstractNumId w:val="0"/>
  </w:num>
  <w:num w:numId="5" w16cid:durableId="279457733">
    <w:abstractNumId w:val="6"/>
  </w:num>
  <w:num w:numId="6" w16cid:durableId="829055416">
    <w:abstractNumId w:val="1"/>
  </w:num>
  <w:num w:numId="7" w16cid:durableId="1974747392">
    <w:abstractNumId w:val="4"/>
  </w:num>
  <w:num w:numId="8" w16cid:durableId="1342120387">
    <w:abstractNumId w:val="11"/>
  </w:num>
  <w:num w:numId="9" w16cid:durableId="350257001">
    <w:abstractNumId w:val="3"/>
  </w:num>
  <w:num w:numId="10" w16cid:durableId="1078140204">
    <w:abstractNumId w:val="7"/>
  </w:num>
  <w:num w:numId="11" w16cid:durableId="1792938771">
    <w:abstractNumId w:val="8"/>
  </w:num>
  <w:num w:numId="12" w16cid:durableId="1526560268">
    <w:abstractNumId w:val="16"/>
  </w:num>
  <w:num w:numId="13" w16cid:durableId="684139451">
    <w:abstractNumId w:val="17"/>
  </w:num>
  <w:num w:numId="14" w16cid:durableId="2066485375">
    <w:abstractNumId w:val="18"/>
  </w:num>
  <w:num w:numId="15" w16cid:durableId="1048799774">
    <w:abstractNumId w:val="2"/>
  </w:num>
  <w:num w:numId="16" w16cid:durableId="763765178">
    <w:abstractNumId w:val="10"/>
  </w:num>
  <w:num w:numId="17" w16cid:durableId="1841503235">
    <w:abstractNumId w:val="13"/>
  </w:num>
  <w:num w:numId="18" w16cid:durableId="850992304">
    <w:abstractNumId w:val="12"/>
  </w:num>
  <w:num w:numId="19" w16cid:durableId="16021031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120797"/>
    <w:rsid w:val="00134527"/>
    <w:rsid w:val="00210A1D"/>
    <w:rsid w:val="00211E44"/>
    <w:rsid w:val="0023618C"/>
    <w:rsid w:val="0031580C"/>
    <w:rsid w:val="003650D0"/>
    <w:rsid w:val="003A7CEA"/>
    <w:rsid w:val="003E2241"/>
    <w:rsid w:val="004107CA"/>
    <w:rsid w:val="004211E5"/>
    <w:rsid w:val="005025F7"/>
    <w:rsid w:val="005422DF"/>
    <w:rsid w:val="005C3FCA"/>
    <w:rsid w:val="005D08ED"/>
    <w:rsid w:val="005F7A75"/>
    <w:rsid w:val="00605B4C"/>
    <w:rsid w:val="00665846"/>
    <w:rsid w:val="006A249B"/>
    <w:rsid w:val="006C7AFA"/>
    <w:rsid w:val="00701CC9"/>
    <w:rsid w:val="00707E60"/>
    <w:rsid w:val="00723620"/>
    <w:rsid w:val="007262C4"/>
    <w:rsid w:val="00813F67"/>
    <w:rsid w:val="00844CC8"/>
    <w:rsid w:val="00845F02"/>
    <w:rsid w:val="00855468"/>
    <w:rsid w:val="00872D32"/>
    <w:rsid w:val="009D1788"/>
    <w:rsid w:val="009D1F9E"/>
    <w:rsid w:val="00A27409"/>
    <w:rsid w:val="00A456B7"/>
    <w:rsid w:val="00A53B01"/>
    <w:rsid w:val="00A55C9A"/>
    <w:rsid w:val="00A60686"/>
    <w:rsid w:val="00A96461"/>
    <w:rsid w:val="00AA7DD4"/>
    <w:rsid w:val="00B9278F"/>
    <w:rsid w:val="00B9597A"/>
    <w:rsid w:val="00BC7035"/>
    <w:rsid w:val="00BE3801"/>
    <w:rsid w:val="00C04706"/>
    <w:rsid w:val="00C24423"/>
    <w:rsid w:val="00C3440A"/>
    <w:rsid w:val="00C4509C"/>
    <w:rsid w:val="00C942B0"/>
    <w:rsid w:val="00C956B7"/>
    <w:rsid w:val="00D37EF2"/>
    <w:rsid w:val="00DB14E5"/>
    <w:rsid w:val="00DD0016"/>
    <w:rsid w:val="00E20840"/>
    <w:rsid w:val="00E608BE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14</cp:revision>
  <dcterms:created xsi:type="dcterms:W3CDTF">2025-10-23T17:12:00Z</dcterms:created>
  <dcterms:modified xsi:type="dcterms:W3CDTF">2025-11-04T16:21:00Z</dcterms:modified>
</cp:coreProperties>
</file>