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152593D9"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1E6E73">
        <w:rPr>
          <w:color w:val="000000" w:themeColor="text1"/>
          <w:sz w:val="44"/>
          <w:szCs w:val="44"/>
        </w:rPr>
        <w:t>Jericó</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5DA7DDEB" w14:textId="77777777" w:rsidR="001E6E73" w:rsidRPr="001E6E73" w:rsidRDefault="001E6E73" w:rsidP="001E6E73">
      <w:pPr>
        <w:spacing w:line="360" w:lineRule="auto"/>
        <w:jc w:val="both"/>
        <w:rPr>
          <w:rFonts w:ascii="Aptos" w:hAnsi="Aptos" w:cs="Times New Roman"/>
          <w:lang w:val="es-ES"/>
        </w:rPr>
      </w:pPr>
      <w:r w:rsidRPr="001E6E73">
        <w:rPr>
          <w:rFonts w:ascii="Aptos" w:hAnsi="Aptos" w:cs="Times New Roman"/>
        </w:rPr>
        <w:lastRenderedPageBreak/>
        <w:t xml:space="preserve">El estado actual de su normatividad tributaria se establece en los acuerdos: </w:t>
      </w:r>
      <w:r w:rsidRPr="001E6E73">
        <w:rPr>
          <w:rFonts w:ascii="Aptos" w:hAnsi="Aptos" w:cs="Times New Roman"/>
          <w:lang w:val="es-ES"/>
        </w:rPr>
        <w:t>013 de 2017, 014 de 2020 y 023 de 2022.</w:t>
      </w:r>
    </w:p>
    <w:p w14:paraId="0BF95F89" w14:textId="77777777" w:rsidR="001E6E73" w:rsidRPr="001E6E73" w:rsidRDefault="001E6E73" w:rsidP="001E6E73">
      <w:pPr>
        <w:spacing w:line="360" w:lineRule="auto"/>
        <w:jc w:val="both"/>
        <w:rPr>
          <w:rFonts w:ascii="Aptos" w:hAnsi="Aptos" w:cs="Times New Roman"/>
          <w:b/>
          <w:sz w:val="32"/>
          <w:szCs w:val="32"/>
          <w:lang w:val="es-ES"/>
        </w:rPr>
      </w:pPr>
      <w:r w:rsidRPr="001E6E73">
        <w:rPr>
          <w:rFonts w:ascii="Aptos" w:hAnsi="Aptos" w:cs="Times New Roman"/>
          <w:b/>
          <w:sz w:val="32"/>
          <w:szCs w:val="32"/>
          <w:lang w:val="es-ES"/>
        </w:rPr>
        <w:t>Hallazgos</w:t>
      </w:r>
    </w:p>
    <w:p w14:paraId="78D2B21B"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Jericó, el Acuerdo 023 de 2022 actualizó destinos económicos, pero requiere ajuste a la versión vigente.</w:t>
      </w:r>
    </w:p>
    <w:p w14:paraId="46079D82"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Adecuación normativa catastral pendiente: deben ajustarse referencias técnicas a la Resolución 1040 de 2023 y a la resolución departamental sobre destinos económicos.</w:t>
      </w:r>
    </w:p>
    <w:p w14:paraId="2D326D0D"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Estructura tarifaria: tarifas por rangos de avalúo (UVT) con mínimo 5‰ y máximo 33‰ (incluye urbanizados no construidos).</w:t>
      </w:r>
    </w:p>
    <w:p w14:paraId="028E69FD"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Sobretasa bomberil — inconsistencia técnica: se define el hecho generador vinculado al IPU, pero la base gravable se enuncia como el avalúo y luego como el “aforo del impuesto predial”; la redacción dicotómica (avalúo vs. impuesto) puede generar conflictos interpretativos. Tarifa: 2 % del valor del aforo.</w:t>
      </w:r>
    </w:p>
    <w:p w14:paraId="2C84AF5B"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IPU compensatorio (Ley 56 de 1981) y compensación del IPU por áreas de retiro obligatorio en vías públicas: requieren delimitación para evitar afectación del recaudo.</w:t>
      </w:r>
    </w:p>
    <w:p w14:paraId="7948027C"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Determinación oficial vía factura (título ejecutivo).</w:t>
      </w:r>
    </w:p>
    <w:p w14:paraId="5A944A61"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Ausencia de límites específicos al crecimiento del IPU por rezago o actualización catastral.</w:t>
      </w:r>
    </w:p>
    <w:p w14:paraId="05F64455"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Sobretasa ambiental: 15 % sobre el recaudo del IPU.</w:t>
      </w:r>
    </w:p>
    <w:p w14:paraId="53A8233B" w14:textId="77777777"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lang w:val="es-ES"/>
        </w:rPr>
        <w:t>Régimen de gravamen prohibido, exenciones y tarifas especiales (p. ej., ESE): presentes en el estatuto; su alcance debe mantenerse coherente con la matriz tarifaria.</w:t>
      </w:r>
    </w:p>
    <w:p w14:paraId="187512F7" w14:textId="5C0356B8" w:rsidR="001E6E73" w:rsidRPr="001E6E73" w:rsidRDefault="001E6E73" w:rsidP="001E6E73">
      <w:pPr>
        <w:numPr>
          <w:ilvl w:val="0"/>
          <w:numId w:val="34"/>
        </w:numPr>
        <w:spacing w:line="360" w:lineRule="auto"/>
        <w:jc w:val="both"/>
        <w:rPr>
          <w:rFonts w:ascii="Aptos" w:hAnsi="Aptos" w:cs="Times New Roman"/>
          <w:lang w:val="es-ES"/>
        </w:rPr>
      </w:pPr>
      <w:r w:rsidRPr="001E6E73">
        <w:rPr>
          <w:rFonts w:ascii="Aptos" w:hAnsi="Aptos" w:cs="Times New Roman"/>
        </w:rPr>
        <w:t>El ET no incorpora tratamientos diferenciados o beneficios por condiciones ambientales</w:t>
      </w:r>
    </w:p>
    <w:p w14:paraId="5E655656" w14:textId="77777777" w:rsidR="001E6E73" w:rsidRPr="001E6E73" w:rsidRDefault="001E6E73" w:rsidP="001E6E73">
      <w:pPr>
        <w:spacing w:line="360" w:lineRule="auto"/>
        <w:jc w:val="both"/>
        <w:rPr>
          <w:rFonts w:ascii="Aptos" w:hAnsi="Aptos" w:cs="Times New Roman"/>
          <w:b/>
          <w:sz w:val="32"/>
          <w:szCs w:val="32"/>
          <w:lang w:val="es-ES"/>
        </w:rPr>
      </w:pPr>
      <w:r w:rsidRPr="001E6E73">
        <w:rPr>
          <w:rFonts w:ascii="Aptos" w:hAnsi="Aptos" w:cs="Times New Roman"/>
          <w:b/>
          <w:sz w:val="32"/>
          <w:szCs w:val="32"/>
          <w:lang w:val="es-ES"/>
        </w:rPr>
        <w:lastRenderedPageBreak/>
        <w:t>Recomendaciones</w:t>
      </w:r>
    </w:p>
    <w:p w14:paraId="70ADFB74" w14:textId="77777777" w:rsidR="001E6E73" w:rsidRPr="001E6E73" w:rsidRDefault="001E6E73" w:rsidP="001E6E73">
      <w:pPr>
        <w:numPr>
          <w:ilvl w:val="0"/>
          <w:numId w:val="33"/>
        </w:numPr>
        <w:spacing w:line="360" w:lineRule="auto"/>
        <w:jc w:val="both"/>
        <w:rPr>
          <w:rFonts w:ascii="Aptos" w:hAnsi="Aptos" w:cs="Times New Roman"/>
          <w:lang w:val="es-ES"/>
        </w:rPr>
      </w:pPr>
      <w:r w:rsidRPr="001E6E73">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D9485A7" w14:textId="77777777" w:rsidR="001E6E73" w:rsidRPr="001E6E73" w:rsidRDefault="001E6E73" w:rsidP="001E6E73">
      <w:pPr>
        <w:numPr>
          <w:ilvl w:val="0"/>
          <w:numId w:val="33"/>
        </w:numPr>
        <w:spacing w:line="360" w:lineRule="auto"/>
        <w:jc w:val="both"/>
        <w:rPr>
          <w:rFonts w:ascii="Aptos" w:hAnsi="Aptos" w:cs="Times New Roman"/>
          <w:lang w:val="es-ES"/>
        </w:rPr>
      </w:pPr>
      <w:r w:rsidRPr="001E6E73">
        <w:rPr>
          <w:rFonts w:ascii="Aptos" w:hAnsi="Aptos" w:cs="Times New Roman"/>
          <w:lang w:val="es-ES"/>
        </w:rPr>
        <w:t>Unificar la técnica normativa de la sobretasa bomberil: precisar una sola base gravable (IPU o avalúo) alineada con el hecho generador, eliminar la dicotomía “avalúo/aforo del IPU” y mantener la tarifa (2 %) sobre la base definida, para asegurar exigibilidad y evitar nulidades.</w:t>
      </w:r>
    </w:p>
    <w:p w14:paraId="25D842E4" w14:textId="77777777" w:rsidR="001E6E73" w:rsidRPr="001E6E73" w:rsidRDefault="001E6E73" w:rsidP="001E6E73">
      <w:pPr>
        <w:numPr>
          <w:ilvl w:val="0"/>
          <w:numId w:val="33"/>
        </w:numPr>
        <w:spacing w:line="360" w:lineRule="auto"/>
        <w:jc w:val="both"/>
        <w:rPr>
          <w:rFonts w:ascii="Aptos" w:hAnsi="Aptos" w:cs="Times New Roman"/>
          <w:lang w:val="es-ES"/>
        </w:rPr>
      </w:pPr>
      <w:r w:rsidRPr="001E6E73">
        <w:rPr>
          <w:rFonts w:ascii="Aptos" w:hAnsi="Aptos" w:cs="Times New Roman"/>
          <w:lang w:val="es-ES"/>
        </w:rPr>
        <w:t>Establecer límites máximos anuales y reglas de gradualidad para incrementos del IPU por rezago/actualización catastral, complementando el marco de Ley 44 de 1990 (art. 6) y las pautas de la Ley 1995 de 2019, con metodología de cálculo clara.</w:t>
      </w:r>
    </w:p>
    <w:p w14:paraId="748AFBE4" w14:textId="77777777" w:rsidR="001E6E73" w:rsidRPr="001E6E73" w:rsidRDefault="001E6E73" w:rsidP="001E6E73">
      <w:pPr>
        <w:numPr>
          <w:ilvl w:val="0"/>
          <w:numId w:val="33"/>
        </w:numPr>
        <w:spacing w:line="360" w:lineRule="auto"/>
        <w:jc w:val="both"/>
        <w:rPr>
          <w:rFonts w:ascii="Aptos" w:hAnsi="Aptos" w:cs="Times New Roman"/>
          <w:lang w:val="es-ES"/>
        </w:rPr>
      </w:pPr>
      <w:r w:rsidRPr="001E6E73">
        <w:rPr>
          <w:rFonts w:ascii="Aptos" w:hAnsi="Aptos" w:cs="Times New Roman"/>
          <w:lang w:val="es-ES"/>
        </w:rPr>
        <w:t>Definir con precisión el régimen del IPU compensatorio y la compensación por áreas de retiro obligatorio (supuestos, alcance y control), a fin de evitar detrimento del recaudo y otorgar seguridad jurídica.</w:t>
      </w:r>
    </w:p>
    <w:p w14:paraId="12EE5C95" w14:textId="77777777" w:rsidR="001E6E73" w:rsidRPr="001E6E73" w:rsidRDefault="001E6E73" w:rsidP="001E6E73">
      <w:pPr>
        <w:numPr>
          <w:ilvl w:val="0"/>
          <w:numId w:val="33"/>
        </w:numPr>
        <w:spacing w:line="360" w:lineRule="auto"/>
        <w:jc w:val="both"/>
        <w:rPr>
          <w:rFonts w:ascii="Aptos" w:hAnsi="Aptos" w:cs="Times New Roman"/>
          <w:lang w:val="es-ES"/>
        </w:rPr>
      </w:pPr>
      <w:r w:rsidRPr="001E6E73">
        <w:rPr>
          <w:rFonts w:ascii="Aptos" w:hAnsi="Aptos" w:cs="Times New Roman"/>
          <w:lang w:val="es-ES"/>
        </w:rPr>
        <w:t>Revisar y consolidar el régimen de gravamen prohibido, exenciones y tarifas especiales (incluida la ESE), alineándolo con la matriz tarifaria por destinos. Precisar sujetos, hechos, bases, porcentajes y vigencia; establecer criterios de elegibilidad y acreditación, reglas sobre no acumulabilidad salvo previsión expresa y causales de pérdida; incorporar verificación posterior e informe de impacto fiscal periódico para asegurar coherencia normativa y sostenibilidad del recaudo.</w:t>
      </w:r>
    </w:p>
    <w:p w14:paraId="59F5D9C1" w14:textId="77777777" w:rsidR="00707E60" w:rsidRPr="00933720" w:rsidRDefault="00707E60">
      <w:pPr>
        <w:rPr>
          <w:lang w:val="es-ES"/>
        </w:rPr>
      </w:pPr>
    </w:p>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80C04" w14:textId="77777777" w:rsidR="000D7615" w:rsidRDefault="000D7615" w:rsidP="00707E60">
      <w:pPr>
        <w:spacing w:after="0" w:line="240" w:lineRule="auto"/>
      </w:pPr>
      <w:r>
        <w:separator/>
      </w:r>
    </w:p>
  </w:endnote>
  <w:endnote w:type="continuationSeparator" w:id="0">
    <w:p w14:paraId="6545A04B" w14:textId="77777777" w:rsidR="000D7615" w:rsidRDefault="000D7615"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23F92" w14:textId="77777777" w:rsidR="000D7615" w:rsidRDefault="000D7615" w:rsidP="00707E60">
      <w:pPr>
        <w:spacing w:after="0" w:line="240" w:lineRule="auto"/>
      </w:pPr>
      <w:r>
        <w:separator/>
      </w:r>
    </w:p>
  </w:footnote>
  <w:footnote w:type="continuationSeparator" w:id="0">
    <w:p w14:paraId="39B69AB0" w14:textId="77777777" w:rsidR="000D7615" w:rsidRDefault="000D7615"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EA62943"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1E6E73">
                            <w:rPr>
                              <w:color w:val="000000" w:themeColor="text1"/>
                              <w:sz w:val="28"/>
                              <w:szCs w:val="28"/>
                            </w:rPr>
                            <w:t>Jericó</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EA62943"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1E6E73">
                      <w:rPr>
                        <w:color w:val="000000" w:themeColor="text1"/>
                        <w:sz w:val="28"/>
                        <w:szCs w:val="28"/>
                      </w:rPr>
                      <w:t>Jericó</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5"/>
  </w:num>
  <w:num w:numId="3" w16cid:durableId="44450645">
    <w:abstractNumId w:val="25"/>
  </w:num>
  <w:num w:numId="4" w16cid:durableId="1953855267">
    <w:abstractNumId w:val="0"/>
  </w:num>
  <w:num w:numId="5" w16cid:durableId="279457733">
    <w:abstractNumId w:val="10"/>
  </w:num>
  <w:num w:numId="6" w16cid:durableId="829055416">
    <w:abstractNumId w:val="1"/>
  </w:num>
  <w:num w:numId="7" w16cid:durableId="1974747392">
    <w:abstractNumId w:val="6"/>
  </w:num>
  <w:num w:numId="8" w16cid:durableId="1342120387">
    <w:abstractNumId w:val="21"/>
  </w:num>
  <w:num w:numId="9" w16cid:durableId="350257001">
    <w:abstractNumId w:val="5"/>
  </w:num>
  <w:num w:numId="10" w16cid:durableId="1078140204">
    <w:abstractNumId w:val="11"/>
  </w:num>
  <w:num w:numId="11" w16cid:durableId="1792938771">
    <w:abstractNumId w:val="12"/>
  </w:num>
  <w:num w:numId="12" w16cid:durableId="1526560268">
    <w:abstractNumId w:val="29"/>
  </w:num>
  <w:num w:numId="13" w16cid:durableId="684139451">
    <w:abstractNumId w:val="31"/>
  </w:num>
  <w:num w:numId="14" w16cid:durableId="2066485375">
    <w:abstractNumId w:val="32"/>
  </w:num>
  <w:num w:numId="15" w16cid:durableId="1048799774">
    <w:abstractNumId w:val="4"/>
  </w:num>
  <w:num w:numId="16" w16cid:durableId="763765178">
    <w:abstractNumId w:val="17"/>
  </w:num>
  <w:num w:numId="17" w16cid:durableId="312298011">
    <w:abstractNumId w:val="24"/>
  </w:num>
  <w:num w:numId="18" w16cid:durableId="1720469911">
    <w:abstractNumId w:val="19"/>
  </w:num>
  <w:num w:numId="19" w16cid:durableId="435371494">
    <w:abstractNumId w:val="22"/>
  </w:num>
  <w:num w:numId="20" w16cid:durableId="295719448">
    <w:abstractNumId w:val="23"/>
  </w:num>
  <w:num w:numId="21" w16cid:durableId="1577745992">
    <w:abstractNumId w:val="13"/>
  </w:num>
  <w:num w:numId="22" w16cid:durableId="1267925568">
    <w:abstractNumId w:val="27"/>
  </w:num>
  <w:num w:numId="23" w16cid:durableId="1861967186">
    <w:abstractNumId w:val="7"/>
  </w:num>
  <w:num w:numId="24" w16cid:durableId="601374337">
    <w:abstractNumId w:val="28"/>
  </w:num>
  <w:num w:numId="25" w16cid:durableId="1162700760">
    <w:abstractNumId w:val="30"/>
  </w:num>
  <w:num w:numId="26" w16cid:durableId="581332385">
    <w:abstractNumId w:val="16"/>
  </w:num>
  <w:num w:numId="27" w16cid:durableId="423887808">
    <w:abstractNumId w:val="26"/>
  </w:num>
  <w:num w:numId="28" w16cid:durableId="1186863597">
    <w:abstractNumId w:val="33"/>
  </w:num>
  <w:num w:numId="29" w16cid:durableId="340359362">
    <w:abstractNumId w:val="2"/>
  </w:num>
  <w:num w:numId="30" w16cid:durableId="1619264905">
    <w:abstractNumId w:val="3"/>
  </w:num>
  <w:num w:numId="31" w16cid:durableId="97989699">
    <w:abstractNumId w:val="9"/>
  </w:num>
  <w:num w:numId="32" w16cid:durableId="55206863">
    <w:abstractNumId w:val="20"/>
  </w:num>
  <w:num w:numId="33" w16cid:durableId="1697734897">
    <w:abstractNumId w:val="18"/>
  </w:num>
  <w:num w:numId="34" w16cid:durableId="720978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D7615"/>
    <w:rsid w:val="00120797"/>
    <w:rsid w:val="00134527"/>
    <w:rsid w:val="001C6F8E"/>
    <w:rsid w:val="001E6E73"/>
    <w:rsid w:val="00211E44"/>
    <w:rsid w:val="00231736"/>
    <w:rsid w:val="0023618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20</cp:revision>
  <dcterms:created xsi:type="dcterms:W3CDTF">2025-10-23T17:12:00Z</dcterms:created>
  <dcterms:modified xsi:type="dcterms:W3CDTF">2025-10-24T18:11:00Z</dcterms:modified>
</cp:coreProperties>
</file>