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119B01D8"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A03918">
        <w:rPr>
          <w:color w:val="000000" w:themeColor="text1"/>
          <w:sz w:val="44"/>
          <w:szCs w:val="44"/>
        </w:rPr>
        <w:t>Salgar</w:t>
      </w:r>
      <w:r w:rsidRPr="00707E60">
        <w:rPr>
          <w:color w:val="000000" w:themeColor="text1"/>
          <w:sz w:val="44"/>
          <w:szCs w:val="44"/>
        </w:rPr>
        <w:t xml:space="preserve"> </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4E24FFBF" w14:textId="77777777" w:rsidR="00707E60" w:rsidRDefault="00707E60"/>
    <w:p w14:paraId="5C9DCB25" w14:textId="77777777" w:rsidR="00707E60" w:rsidRDefault="00707E60"/>
    <w:p w14:paraId="019C89ED" w14:textId="77777777" w:rsidR="00A03918" w:rsidRPr="00A03918" w:rsidRDefault="00A03918" w:rsidP="00A03918">
      <w:pPr>
        <w:spacing w:line="360" w:lineRule="auto"/>
        <w:jc w:val="both"/>
        <w:rPr>
          <w:rFonts w:ascii="Aptos" w:hAnsi="Aptos" w:cs="Times New Roman"/>
        </w:rPr>
      </w:pPr>
      <w:r w:rsidRPr="00A03918">
        <w:rPr>
          <w:rFonts w:ascii="Aptos" w:hAnsi="Aptos" w:cs="Times New Roman"/>
        </w:rPr>
        <w:t>El estado actual de su normatividad tributaria se establece en el acuerdo: 022 de 2024</w:t>
      </w:r>
    </w:p>
    <w:p w14:paraId="6D6408A2" w14:textId="77777777" w:rsidR="00A03918" w:rsidRPr="00A03918" w:rsidRDefault="00A03918" w:rsidP="00A03918">
      <w:pPr>
        <w:spacing w:line="360" w:lineRule="auto"/>
        <w:jc w:val="both"/>
        <w:rPr>
          <w:rFonts w:ascii="Aptos" w:hAnsi="Aptos" w:cs="Times New Roman"/>
          <w:b/>
          <w:bCs/>
          <w:sz w:val="32"/>
          <w:szCs w:val="32"/>
        </w:rPr>
      </w:pPr>
      <w:r w:rsidRPr="00A03918">
        <w:rPr>
          <w:rFonts w:ascii="Aptos" w:hAnsi="Aptos" w:cs="Times New Roman"/>
          <w:b/>
          <w:bCs/>
          <w:sz w:val="32"/>
          <w:szCs w:val="32"/>
        </w:rPr>
        <w:t>Hallazgos</w:t>
      </w:r>
    </w:p>
    <w:p w14:paraId="31AC3041" w14:textId="77777777" w:rsidR="00A03918" w:rsidRPr="00A03918" w:rsidRDefault="00A03918" w:rsidP="00A03918">
      <w:pPr>
        <w:numPr>
          <w:ilvl w:val="0"/>
          <w:numId w:val="5"/>
        </w:numPr>
        <w:spacing w:line="360" w:lineRule="auto"/>
        <w:jc w:val="both"/>
        <w:rPr>
          <w:rFonts w:ascii="Aptos" w:hAnsi="Aptos" w:cs="Times New Roman"/>
        </w:rPr>
      </w:pPr>
      <w:r w:rsidRPr="00A03918">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35C40727" w14:textId="77777777" w:rsidR="00A03918" w:rsidRPr="00A03918" w:rsidRDefault="00A03918" w:rsidP="00A03918">
      <w:pPr>
        <w:numPr>
          <w:ilvl w:val="0"/>
          <w:numId w:val="5"/>
        </w:numPr>
        <w:spacing w:line="360" w:lineRule="auto"/>
        <w:jc w:val="both"/>
        <w:rPr>
          <w:rFonts w:ascii="Aptos" w:hAnsi="Aptos" w:cs="Times New Roman"/>
        </w:rPr>
      </w:pPr>
      <w:r w:rsidRPr="00A03918">
        <w:rPr>
          <w:rFonts w:ascii="Aptos" w:hAnsi="Aptos" w:cs="Times New Roman"/>
        </w:rPr>
        <w:t>Matriz tarifaria y límites: la matriz prevé tarifas entre 9‰ y 33‰; fija porcentaje ambiental del 15 % sobre el impuesto predial (traslado a la CAR) y sobretasa bomberil del 2 % del IPU. El municipio acoge los límites de la Ley 1995 de 2019 y la Ley 44 de 1990, pero no regula límites específicos para el rezago catastral, lo que abre riesgo de variaciones desproporcionadas.</w:t>
      </w:r>
    </w:p>
    <w:p w14:paraId="3C533F55" w14:textId="77777777" w:rsidR="00A03918" w:rsidRPr="00A03918" w:rsidRDefault="00A03918" w:rsidP="00A03918">
      <w:pPr>
        <w:numPr>
          <w:ilvl w:val="0"/>
          <w:numId w:val="5"/>
        </w:numPr>
        <w:spacing w:line="360" w:lineRule="auto"/>
        <w:jc w:val="both"/>
        <w:rPr>
          <w:rFonts w:ascii="Aptos" w:hAnsi="Aptos" w:cs="Times New Roman"/>
        </w:rPr>
      </w:pPr>
      <w:r w:rsidRPr="00A03918">
        <w:rPr>
          <w:rFonts w:ascii="Aptos" w:hAnsi="Aptos" w:cs="Times New Roman"/>
        </w:rPr>
        <w:t>Alumbrado público – ambigüedad normativa: (i) no se define con precisión la tarifa aplicable a predios sin instalación de energía eléctrica; (ii) se menciona sobretasa de 1‰ sobre la base gravable, sin aclarar si la base es el avalúo catastral; y (iii) el texto alude a rangos de consumo, generando confusión sobre la metodología de liquidación.</w:t>
      </w:r>
    </w:p>
    <w:p w14:paraId="60B16363" w14:textId="77777777" w:rsidR="00A03918" w:rsidRPr="00A03918" w:rsidRDefault="00A03918" w:rsidP="00A03918">
      <w:pPr>
        <w:numPr>
          <w:ilvl w:val="0"/>
          <w:numId w:val="5"/>
        </w:numPr>
        <w:spacing w:line="360" w:lineRule="auto"/>
        <w:jc w:val="both"/>
        <w:rPr>
          <w:rFonts w:ascii="Aptos" w:hAnsi="Aptos" w:cs="Times New Roman"/>
        </w:rPr>
      </w:pPr>
      <w:r w:rsidRPr="00A03918">
        <w:rPr>
          <w:rFonts w:ascii="Aptos" w:hAnsi="Aptos" w:cs="Times New Roman"/>
        </w:rPr>
        <w:t>Definiciones y determinación: se regula el IPU desde el artículo 10 (elementos esenciales) y se define predio edificado como aquel con área construida ≥ 10 % del área del lote; el impuesto es declarado anualmente.</w:t>
      </w:r>
    </w:p>
    <w:p w14:paraId="103EC00F" w14:textId="77777777" w:rsidR="00A03918" w:rsidRPr="00A03918" w:rsidRDefault="00A03918" w:rsidP="00A03918">
      <w:pPr>
        <w:numPr>
          <w:ilvl w:val="0"/>
          <w:numId w:val="5"/>
        </w:numPr>
        <w:spacing w:line="360" w:lineRule="auto"/>
        <w:jc w:val="both"/>
        <w:rPr>
          <w:rFonts w:ascii="Aptos" w:hAnsi="Aptos" w:cs="Times New Roman"/>
        </w:rPr>
      </w:pPr>
      <w:r w:rsidRPr="00A03918">
        <w:rPr>
          <w:rFonts w:ascii="Aptos" w:hAnsi="Aptos" w:cs="Times New Roman"/>
        </w:rPr>
        <w:t>El ET no incorpora tratamientos diferenciados o beneficios por condiciones ambientales</w:t>
      </w:r>
    </w:p>
    <w:p w14:paraId="525AB2ED" w14:textId="77777777" w:rsidR="00A03918" w:rsidRPr="00A03918" w:rsidRDefault="00A03918" w:rsidP="00A03918">
      <w:pPr>
        <w:spacing w:line="360" w:lineRule="auto"/>
        <w:jc w:val="both"/>
        <w:rPr>
          <w:rFonts w:ascii="Aptos" w:hAnsi="Aptos" w:cs="Times New Roman"/>
          <w:b/>
          <w:bCs/>
          <w:sz w:val="32"/>
          <w:szCs w:val="32"/>
        </w:rPr>
      </w:pPr>
      <w:r w:rsidRPr="00A03918">
        <w:rPr>
          <w:rFonts w:ascii="Aptos" w:hAnsi="Aptos" w:cs="Times New Roman"/>
          <w:b/>
          <w:bCs/>
          <w:sz w:val="32"/>
          <w:szCs w:val="32"/>
        </w:rPr>
        <w:t>Recomendaciones</w:t>
      </w:r>
    </w:p>
    <w:p w14:paraId="7C8EFFC4" w14:textId="77777777" w:rsidR="00A03918" w:rsidRPr="00A03918" w:rsidRDefault="00A03918" w:rsidP="00A03918">
      <w:pPr>
        <w:numPr>
          <w:ilvl w:val="0"/>
          <w:numId w:val="6"/>
        </w:numPr>
        <w:spacing w:line="360" w:lineRule="auto"/>
        <w:jc w:val="both"/>
        <w:rPr>
          <w:rFonts w:ascii="Aptos" w:hAnsi="Aptos" w:cs="Times New Roman"/>
        </w:rPr>
      </w:pPr>
      <w:r w:rsidRPr="00A03918">
        <w:rPr>
          <w:rFonts w:ascii="Aptos" w:hAnsi="Aptos" w:cs="Times New Roman"/>
        </w:rPr>
        <w:t xml:space="preserve">“Adelantar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w:t>
      </w:r>
      <w:r w:rsidRPr="00A03918">
        <w:rPr>
          <w:rFonts w:ascii="Aptos" w:hAnsi="Aptos" w:cs="Times New Roman"/>
        </w:rPr>
        <w:lastRenderedPageBreak/>
        <w:t>que todos los destinos contemplados en el modelo LADM-COL versión 4.1, cuenten con una tarifa definida, evitando la pérdida de ingresos fiscales.”</w:t>
      </w:r>
    </w:p>
    <w:p w14:paraId="14F701F5" w14:textId="77777777" w:rsidR="00A03918" w:rsidRPr="00A03918" w:rsidRDefault="00A03918" w:rsidP="00A03918">
      <w:pPr>
        <w:numPr>
          <w:ilvl w:val="0"/>
          <w:numId w:val="6"/>
        </w:numPr>
        <w:spacing w:line="360" w:lineRule="auto"/>
        <w:jc w:val="both"/>
        <w:rPr>
          <w:rFonts w:ascii="Aptos" w:hAnsi="Aptos" w:cs="Times New Roman"/>
        </w:rPr>
      </w:pPr>
      <w:r w:rsidRPr="00A03918">
        <w:rPr>
          <w:rFonts w:ascii="Aptos" w:hAnsi="Aptos" w:cs="Times New Roman"/>
        </w:rPr>
        <w:t>Establecer límites y reglas de gradualidad específicos para incrementos derivados del rezago catastral, complementando los topes de las Leyes 1995 de 2019 y 44 de 1990, a fin de otorgar certeza y seguridad jurídica.</w:t>
      </w:r>
    </w:p>
    <w:p w14:paraId="6312E24D" w14:textId="77777777" w:rsidR="00A03918" w:rsidRPr="00A03918" w:rsidRDefault="00A03918" w:rsidP="00A03918">
      <w:pPr>
        <w:numPr>
          <w:ilvl w:val="0"/>
          <w:numId w:val="6"/>
        </w:numPr>
        <w:spacing w:line="360" w:lineRule="auto"/>
        <w:jc w:val="both"/>
        <w:rPr>
          <w:rFonts w:ascii="Aptos" w:hAnsi="Aptos" w:cs="Times New Roman"/>
        </w:rPr>
      </w:pPr>
      <w:r w:rsidRPr="00A03918">
        <w:rPr>
          <w:rFonts w:ascii="Aptos" w:hAnsi="Aptos" w:cs="Times New Roman"/>
        </w:rPr>
        <w:t>Corregir la ambigüedad en alumbrado público: (i) definir la tarifa para predios sin energía; (ii) precisar inequívocamente la base gravable de la sobretasa de 1‰ (si es avalúo catastral, indicarlo expresamente); y (iii) eliminar referencias a rangos de consumo para evitar interpretaciones divergentes.</w:t>
      </w:r>
    </w:p>
    <w:p w14:paraId="597059D7" w14:textId="77777777" w:rsidR="00707E60" w:rsidRDefault="00707E60"/>
    <w:p w14:paraId="412E737A" w14:textId="77777777" w:rsidR="00707E60" w:rsidRDefault="00707E60"/>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C69F5" w14:textId="77777777" w:rsidR="005B1891" w:rsidRDefault="005B1891" w:rsidP="00707E60">
      <w:pPr>
        <w:spacing w:after="0" w:line="240" w:lineRule="auto"/>
      </w:pPr>
      <w:r>
        <w:separator/>
      </w:r>
    </w:p>
  </w:endnote>
  <w:endnote w:type="continuationSeparator" w:id="0">
    <w:p w14:paraId="5B848070" w14:textId="77777777" w:rsidR="005B1891" w:rsidRDefault="005B1891"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E28C5" w14:textId="77777777" w:rsidR="005B1891" w:rsidRDefault="005B1891" w:rsidP="00707E60">
      <w:pPr>
        <w:spacing w:after="0" w:line="240" w:lineRule="auto"/>
      </w:pPr>
      <w:r>
        <w:separator/>
      </w:r>
    </w:p>
  </w:footnote>
  <w:footnote w:type="continuationSeparator" w:id="0">
    <w:p w14:paraId="7E18355E" w14:textId="77777777" w:rsidR="005B1891" w:rsidRDefault="005B1891"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1C11A54F">
              <wp:simplePos x="0" y="0"/>
              <wp:positionH relativeFrom="column">
                <wp:posOffset>37238</wp:posOffset>
              </wp:positionH>
              <wp:positionV relativeFrom="paragraph">
                <wp:posOffset>-111760</wp:posOffset>
              </wp:positionV>
              <wp:extent cx="3256767"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256767"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37E28172"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A03918">
                            <w:rPr>
                              <w:color w:val="000000" w:themeColor="text1"/>
                              <w:sz w:val="28"/>
                              <w:szCs w:val="28"/>
                            </w:rPr>
                            <w:t>Salgar</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2.95pt;margin-top:-8.8pt;width:256.4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37E28172" w:rsidR="00707E60" w:rsidRPr="00707E60" w:rsidRDefault="00707E60" w:rsidP="00707E60">
                    <w:pPr>
                      <w:pStyle w:val="NoSpacing"/>
                      <w:rPr>
                        <w:color w:val="000000" w:themeColor="text1"/>
                        <w:sz w:val="28"/>
                        <w:szCs w:val="28"/>
                      </w:rPr>
                    </w:pPr>
                    <w:r w:rsidRPr="00707E60">
                      <w:rPr>
                        <w:color w:val="000000" w:themeColor="text1"/>
                        <w:sz w:val="28"/>
                        <w:szCs w:val="28"/>
                      </w:rPr>
                      <w:t xml:space="preserve">Ficha Municipio </w:t>
                    </w:r>
                    <w:r w:rsidR="00A03918">
                      <w:rPr>
                        <w:color w:val="000000" w:themeColor="text1"/>
                        <w:sz w:val="28"/>
                        <w:szCs w:val="28"/>
                      </w:rPr>
                      <w:t>Salgar</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21C0"/>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7B21BF"/>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2"/>
  </w:num>
  <w:num w:numId="2" w16cid:durableId="1017347282">
    <w:abstractNumId w:val="3"/>
  </w:num>
  <w:num w:numId="3" w16cid:durableId="44450645">
    <w:abstractNumId w:val="5"/>
  </w:num>
  <w:num w:numId="4" w16cid:durableId="1953855267">
    <w:abstractNumId w:val="1"/>
  </w:num>
  <w:num w:numId="5" w16cid:durableId="1404909314">
    <w:abstractNumId w:val="4"/>
  </w:num>
  <w:num w:numId="6" w16cid:durableId="2134588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618C"/>
    <w:rsid w:val="003650D0"/>
    <w:rsid w:val="003A7CEA"/>
    <w:rsid w:val="003E2241"/>
    <w:rsid w:val="004107CA"/>
    <w:rsid w:val="005422DF"/>
    <w:rsid w:val="005B1891"/>
    <w:rsid w:val="005F7A75"/>
    <w:rsid w:val="00605B4C"/>
    <w:rsid w:val="00665846"/>
    <w:rsid w:val="006A249B"/>
    <w:rsid w:val="00707E60"/>
    <w:rsid w:val="00813F67"/>
    <w:rsid w:val="00844CC8"/>
    <w:rsid w:val="00845F02"/>
    <w:rsid w:val="00855468"/>
    <w:rsid w:val="009D1F9E"/>
    <w:rsid w:val="00A03918"/>
    <w:rsid w:val="00A27409"/>
    <w:rsid w:val="00A55C9A"/>
    <w:rsid w:val="00A60686"/>
    <w:rsid w:val="00A96461"/>
    <w:rsid w:val="00C04706"/>
    <w:rsid w:val="00C942B0"/>
    <w:rsid w:val="00D37EF2"/>
    <w:rsid w:val="00DB14E5"/>
    <w:rsid w:val="00DD0016"/>
    <w:rsid w:val="00E20840"/>
    <w:rsid w:val="00E608BE"/>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707E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E60"/>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402</Words>
  <Characters>2298</Characters>
  <Application>Microsoft Office Word</Application>
  <DocSecurity>0</DocSecurity>
  <Lines>19</Lines>
  <Paragraphs>5</Paragraphs>
  <ScaleCrop>false</ScaleCrop>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2</cp:revision>
  <dcterms:created xsi:type="dcterms:W3CDTF">2025-10-23T19:04:00Z</dcterms:created>
  <dcterms:modified xsi:type="dcterms:W3CDTF">2025-10-23T19:04:00Z</dcterms:modified>
</cp:coreProperties>
</file>