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6B8D3C73"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9501F5">
        <w:rPr>
          <w:color w:val="000000" w:themeColor="text1"/>
          <w:sz w:val="44"/>
          <w:szCs w:val="44"/>
        </w:rPr>
        <w:t>San Pedro de Urabá</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0EB47F25" w14:textId="77777777" w:rsidR="009501F5" w:rsidRPr="009501F5" w:rsidRDefault="009501F5" w:rsidP="009501F5">
      <w:pPr>
        <w:spacing w:line="360" w:lineRule="auto"/>
        <w:jc w:val="both"/>
        <w:rPr>
          <w:rFonts w:ascii="Aptos" w:hAnsi="Aptos" w:cs="Times New Roman"/>
        </w:rPr>
      </w:pPr>
      <w:r w:rsidRPr="009501F5">
        <w:rPr>
          <w:rFonts w:ascii="Aptos" w:hAnsi="Aptos" w:cs="Times New Roman"/>
        </w:rPr>
        <w:lastRenderedPageBreak/>
        <w:t>El estado actual de su normatividad tributaria se establece en el Acuerdo 015 de 2024.</w:t>
      </w:r>
    </w:p>
    <w:p w14:paraId="3D7E7673" w14:textId="77777777" w:rsidR="009501F5" w:rsidRPr="009501F5" w:rsidRDefault="009501F5" w:rsidP="009501F5">
      <w:pPr>
        <w:spacing w:line="360" w:lineRule="auto"/>
        <w:jc w:val="both"/>
        <w:rPr>
          <w:rFonts w:ascii="Aptos" w:hAnsi="Aptos" w:cs="Times New Roman"/>
          <w:b/>
          <w:bCs/>
          <w:sz w:val="32"/>
          <w:szCs w:val="32"/>
        </w:rPr>
      </w:pPr>
      <w:r w:rsidRPr="009501F5">
        <w:rPr>
          <w:rFonts w:ascii="Aptos" w:hAnsi="Aptos" w:cs="Times New Roman"/>
          <w:b/>
          <w:bCs/>
          <w:sz w:val="32"/>
          <w:szCs w:val="32"/>
        </w:rPr>
        <w:t>Hallazgos</w:t>
      </w:r>
    </w:p>
    <w:p w14:paraId="3792E29C"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190C436E"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El Impuesto Predial Unificado se desarrolla a partir del artículo 12 (autorización legal, definición del impuesto y definiciones catastrales).</w:t>
      </w:r>
    </w:p>
    <w:p w14:paraId="068394C0"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Se determinan los elementos del tributo y se establece el impuesto compensatorio de la Ley 56 de 1981.</w:t>
      </w:r>
    </w:p>
    <w:p w14:paraId="00EE4FAA"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Tarifas por rangos de avalúo: desde 10 por mil hasta 33 por mil.</w:t>
      </w:r>
    </w:p>
    <w:p w14:paraId="5172CBED"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Descuentos por procesos catastrales (tres primeros años): 50 %, 30 % y 10 %.</w:t>
      </w:r>
    </w:p>
    <w:p w14:paraId="3C063285"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Tarifa preferente para alto riesgo del 2 por mil, con requisitos ante Planeación (copia a Hacienda).</w:t>
      </w:r>
    </w:p>
    <w:p w14:paraId="54CCDB14"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No se observa limitación por rezago catastral.</w:t>
      </w:r>
    </w:p>
    <w:p w14:paraId="51FD6209"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La factura se consagra como título ejecutivo; se prevé notificación por correo electrónico directa, calificada en el texto como contraria al procedimiento especial.</w:t>
      </w:r>
    </w:p>
    <w:p w14:paraId="00A6CFF6"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Pago trimestral en cuatro cuotas.</w:t>
      </w:r>
    </w:p>
    <w:p w14:paraId="1A84B7EF"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Descuento del 20 % antes del 31 de diciembre (anticipa beneficio de la vigencia siguiente) y 15 % antes del primer trimestre.</w:t>
      </w:r>
    </w:p>
    <w:p w14:paraId="7090FBB4"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Sobretasa del 1,5 por mil sobre el avalúo, suspendida en 2025–2027 por porcentaje ambiental (15 % del recaudo).</w:t>
      </w:r>
    </w:p>
    <w:p w14:paraId="0515105C"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Prohibiciones: iglesias, parques naturales, predios del municipio, zonas de retiro de quebradas y zonas hídricas, y bienes de interés histórico.</w:t>
      </w:r>
    </w:p>
    <w:p w14:paraId="14213AC5"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lastRenderedPageBreak/>
        <w:t>Exenciones: Juntas de Acción Comunal, Fuerza Pública, Defensa Civil y Bomberos.</w:t>
      </w:r>
    </w:p>
    <w:p w14:paraId="59D84486"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Descuento del 50 % para entidades culturales sin ánimo de lucro (interés cultural) y para predios de conservación de especies nativas o exóticas, con procedimiento de otorgamiento.</w:t>
      </w:r>
    </w:p>
    <w:p w14:paraId="58C9A1EB" w14:textId="77777777" w:rsidR="009501F5" w:rsidRP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Sobretasa Bomberil del 3 % del impuesto predial. No se crea sobretasa de alumbrado público.</w:t>
      </w:r>
    </w:p>
    <w:p w14:paraId="5129092C" w14:textId="6F1E5772" w:rsidR="009501F5" w:rsidRDefault="009501F5" w:rsidP="009501F5">
      <w:pPr>
        <w:numPr>
          <w:ilvl w:val="0"/>
          <w:numId w:val="35"/>
        </w:numPr>
        <w:spacing w:line="360" w:lineRule="auto"/>
        <w:jc w:val="both"/>
        <w:rPr>
          <w:rFonts w:ascii="Aptos" w:hAnsi="Aptos" w:cs="Times New Roman"/>
        </w:rPr>
      </w:pPr>
      <w:r w:rsidRPr="009501F5">
        <w:rPr>
          <w:rFonts w:ascii="Aptos" w:hAnsi="Aptos" w:cs="Times New Roman"/>
        </w:rPr>
        <w:t>Descuentos por conservación de bosques y fuentes hídricas según el porcentaje de área protegida o sembrada.</w:t>
      </w:r>
    </w:p>
    <w:p w14:paraId="79D5F3CC" w14:textId="77777777" w:rsidR="009501F5" w:rsidRPr="009501F5" w:rsidRDefault="009501F5" w:rsidP="009501F5">
      <w:pPr>
        <w:spacing w:line="360" w:lineRule="auto"/>
        <w:ind w:left="360"/>
        <w:jc w:val="both"/>
        <w:rPr>
          <w:rFonts w:ascii="Aptos" w:hAnsi="Aptos" w:cs="Times New Roman"/>
        </w:rPr>
      </w:pPr>
    </w:p>
    <w:p w14:paraId="2E51CE94" w14:textId="77777777" w:rsidR="009501F5" w:rsidRPr="009501F5" w:rsidRDefault="009501F5" w:rsidP="009501F5">
      <w:pPr>
        <w:spacing w:line="360" w:lineRule="auto"/>
        <w:jc w:val="both"/>
        <w:rPr>
          <w:rFonts w:ascii="Aptos" w:hAnsi="Aptos" w:cs="Times New Roman"/>
          <w:b/>
          <w:bCs/>
          <w:sz w:val="32"/>
          <w:szCs w:val="32"/>
        </w:rPr>
      </w:pPr>
      <w:r w:rsidRPr="009501F5">
        <w:rPr>
          <w:rFonts w:ascii="Aptos" w:hAnsi="Aptos" w:cs="Times New Roman"/>
          <w:b/>
          <w:bCs/>
          <w:sz w:val="32"/>
          <w:szCs w:val="32"/>
        </w:rPr>
        <w:t>Recomendaciones</w:t>
      </w:r>
    </w:p>
    <w:p w14:paraId="136EC555" w14:textId="77777777" w:rsidR="009501F5" w:rsidRPr="009501F5" w:rsidRDefault="009501F5" w:rsidP="009501F5">
      <w:pPr>
        <w:numPr>
          <w:ilvl w:val="0"/>
          <w:numId w:val="36"/>
        </w:numPr>
        <w:spacing w:line="360" w:lineRule="auto"/>
        <w:jc w:val="both"/>
        <w:rPr>
          <w:rFonts w:ascii="Aptos" w:hAnsi="Aptos" w:cs="Times New Roman"/>
        </w:rPr>
      </w:pPr>
      <w:r w:rsidRPr="009501F5">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1B94FEE2" w14:textId="77777777" w:rsidR="009501F5" w:rsidRPr="009501F5" w:rsidRDefault="009501F5" w:rsidP="009501F5">
      <w:pPr>
        <w:numPr>
          <w:ilvl w:val="0"/>
          <w:numId w:val="36"/>
        </w:numPr>
        <w:spacing w:line="360" w:lineRule="auto"/>
        <w:jc w:val="both"/>
        <w:rPr>
          <w:rFonts w:ascii="Aptos" w:hAnsi="Aptos" w:cs="Times New Roman"/>
        </w:rPr>
      </w:pPr>
      <w:r w:rsidRPr="009501F5">
        <w:rPr>
          <w:rFonts w:ascii="Aptos" w:hAnsi="Aptos" w:cs="Times New Roman"/>
        </w:rPr>
        <w:t>Ajustar el mecanismo de notificación de la factura previsto como envío directo por correo electrónico, dado que el propio texto lo califica como contrario al procedimiento especial aplicable.</w:t>
      </w:r>
    </w:p>
    <w:p w14:paraId="3E02F600" w14:textId="77777777" w:rsidR="009501F5" w:rsidRPr="009501F5" w:rsidRDefault="009501F5" w:rsidP="009501F5">
      <w:pPr>
        <w:numPr>
          <w:ilvl w:val="0"/>
          <w:numId w:val="36"/>
        </w:numPr>
        <w:spacing w:line="360" w:lineRule="auto"/>
        <w:jc w:val="both"/>
        <w:rPr>
          <w:rFonts w:ascii="Aptos" w:hAnsi="Aptos" w:cs="Times New Roman"/>
        </w:rPr>
      </w:pPr>
      <w:r w:rsidRPr="009501F5">
        <w:rPr>
          <w:rFonts w:ascii="Aptos" w:hAnsi="Aptos" w:cs="Times New Roman"/>
        </w:rPr>
        <w:t>Definir límites y reglas de gradualidad por rezago catastral, incorporando topes, metodología y transiciones para ordenar los incrementos derivados de formación/actualización, en coherencia con el hallazgo de ausencia de limitación por rezago.</w:t>
      </w:r>
    </w:p>
    <w:p w14:paraId="12A425EF" w14:textId="77777777" w:rsidR="009501F5" w:rsidRPr="009501F5" w:rsidRDefault="009501F5" w:rsidP="009501F5">
      <w:pPr>
        <w:numPr>
          <w:ilvl w:val="0"/>
          <w:numId w:val="36"/>
        </w:numPr>
        <w:spacing w:line="360" w:lineRule="auto"/>
        <w:jc w:val="both"/>
        <w:rPr>
          <w:rFonts w:ascii="Aptos" w:hAnsi="Aptos" w:cs="Times New Roman"/>
        </w:rPr>
      </w:pPr>
      <w:r w:rsidRPr="009501F5">
        <w:rPr>
          <w:rFonts w:ascii="Aptos" w:hAnsi="Aptos" w:cs="Times New Roman"/>
        </w:rPr>
        <w:t>Revisar la arquitectura de descuentos y su calendarización (20 % antes del 31 de diciembre y 15 % antes del primer trimestre) para evitar anticipación de beneficios entre vigencias y asegurar consistencia con el esquema trimestral en cuatro cuotas.</w:t>
      </w:r>
    </w:p>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4E1D7" w14:textId="77777777" w:rsidR="00F92AA2" w:rsidRDefault="00F92AA2" w:rsidP="00707E60">
      <w:pPr>
        <w:spacing w:after="0" w:line="240" w:lineRule="auto"/>
      </w:pPr>
      <w:r>
        <w:separator/>
      </w:r>
    </w:p>
  </w:endnote>
  <w:endnote w:type="continuationSeparator" w:id="0">
    <w:p w14:paraId="6A66B6C3" w14:textId="77777777" w:rsidR="00F92AA2" w:rsidRDefault="00F92AA2"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5CBC2" w14:textId="77777777" w:rsidR="00F92AA2" w:rsidRDefault="00F92AA2" w:rsidP="00707E60">
      <w:pPr>
        <w:spacing w:after="0" w:line="240" w:lineRule="auto"/>
      </w:pPr>
      <w:r>
        <w:separator/>
      </w:r>
    </w:p>
  </w:footnote>
  <w:footnote w:type="continuationSeparator" w:id="0">
    <w:p w14:paraId="27B47AB2" w14:textId="77777777" w:rsidR="00F92AA2" w:rsidRDefault="00F92AA2"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491213A"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9501F5">
                            <w:rPr>
                              <w:color w:val="000000" w:themeColor="text1"/>
                              <w:sz w:val="28"/>
                              <w:szCs w:val="28"/>
                            </w:rPr>
                            <w:t>San Pedro de Urabá</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491213A"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9501F5">
                      <w:rPr>
                        <w:color w:val="000000" w:themeColor="text1"/>
                        <w:sz w:val="28"/>
                        <w:szCs w:val="28"/>
                      </w:rPr>
                      <w:t>San Pedro de Urabá</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FC0CEF"/>
    <w:multiLevelType w:val="hybridMultilevel"/>
    <w:tmpl w:val="AB4C10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2B2877"/>
    <w:multiLevelType w:val="hybridMultilevel"/>
    <w:tmpl w:val="135AC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A7D8E"/>
    <w:multiLevelType w:val="multilevel"/>
    <w:tmpl w:val="E9D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4B03A6"/>
    <w:multiLevelType w:val="multilevel"/>
    <w:tmpl w:val="4B4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8"/>
  </w:num>
  <w:num w:numId="2" w16cid:durableId="1017347282">
    <w:abstractNumId w:val="15"/>
  </w:num>
  <w:num w:numId="3" w16cid:durableId="44450645">
    <w:abstractNumId w:val="26"/>
  </w:num>
  <w:num w:numId="4" w16cid:durableId="1953855267">
    <w:abstractNumId w:val="0"/>
  </w:num>
  <w:num w:numId="5" w16cid:durableId="279457733">
    <w:abstractNumId w:val="10"/>
  </w:num>
  <w:num w:numId="6" w16cid:durableId="829055416">
    <w:abstractNumId w:val="1"/>
  </w:num>
  <w:num w:numId="7" w16cid:durableId="1974747392">
    <w:abstractNumId w:val="6"/>
  </w:num>
  <w:num w:numId="8" w16cid:durableId="1342120387">
    <w:abstractNumId w:val="21"/>
  </w:num>
  <w:num w:numId="9" w16cid:durableId="350257001">
    <w:abstractNumId w:val="5"/>
  </w:num>
  <w:num w:numId="10" w16cid:durableId="1078140204">
    <w:abstractNumId w:val="11"/>
  </w:num>
  <w:num w:numId="11" w16cid:durableId="1792938771">
    <w:abstractNumId w:val="12"/>
  </w:num>
  <w:num w:numId="12" w16cid:durableId="1526560268">
    <w:abstractNumId w:val="30"/>
  </w:num>
  <w:num w:numId="13" w16cid:durableId="684139451">
    <w:abstractNumId w:val="32"/>
  </w:num>
  <w:num w:numId="14" w16cid:durableId="2066485375">
    <w:abstractNumId w:val="33"/>
  </w:num>
  <w:num w:numId="15" w16cid:durableId="1048799774">
    <w:abstractNumId w:val="4"/>
  </w:num>
  <w:num w:numId="16" w16cid:durableId="763765178">
    <w:abstractNumId w:val="17"/>
  </w:num>
  <w:num w:numId="17" w16cid:durableId="312298011">
    <w:abstractNumId w:val="25"/>
  </w:num>
  <w:num w:numId="18" w16cid:durableId="1720469911">
    <w:abstractNumId w:val="19"/>
  </w:num>
  <w:num w:numId="19" w16cid:durableId="435371494">
    <w:abstractNumId w:val="22"/>
  </w:num>
  <w:num w:numId="20" w16cid:durableId="295719448">
    <w:abstractNumId w:val="23"/>
  </w:num>
  <w:num w:numId="21" w16cid:durableId="1577745992">
    <w:abstractNumId w:val="13"/>
  </w:num>
  <w:num w:numId="22" w16cid:durableId="1267925568">
    <w:abstractNumId w:val="28"/>
  </w:num>
  <w:num w:numId="23" w16cid:durableId="1861967186">
    <w:abstractNumId w:val="7"/>
  </w:num>
  <w:num w:numId="24" w16cid:durableId="601374337">
    <w:abstractNumId w:val="29"/>
  </w:num>
  <w:num w:numId="25" w16cid:durableId="1162700760">
    <w:abstractNumId w:val="31"/>
  </w:num>
  <w:num w:numId="26" w16cid:durableId="581332385">
    <w:abstractNumId w:val="16"/>
  </w:num>
  <w:num w:numId="27" w16cid:durableId="423887808">
    <w:abstractNumId w:val="27"/>
  </w:num>
  <w:num w:numId="28" w16cid:durableId="1186863597">
    <w:abstractNumId w:val="35"/>
  </w:num>
  <w:num w:numId="29" w16cid:durableId="340359362">
    <w:abstractNumId w:val="2"/>
  </w:num>
  <w:num w:numId="30" w16cid:durableId="1619264905">
    <w:abstractNumId w:val="3"/>
  </w:num>
  <w:num w:numId="31" w16cid:durableId="97989699">
    <w:abstractNumId w:val="9"/>
  </w:num>
  <w:num w:numId="32" w16cid:durableId="55206863">
    <w:abstractNumId w:val="20"/>
  </w:num>
  <w:num w:numId="33" w16cid:durableId="1697734897">
    <w:abstractNumId w:val="18"/>
  </w:num>
  <w:num w:numId="34" w16cid:durableId="720978602">
    <w:abstractNumId w:val="14"/>
  </w:num>
  <w:num w:numId="35" w16cid:durableId="1909030509">
    <w:abstractNumId w:val="24"/>
  </w:num>
  <w:num w:numId="36" w16cid:durableId="197918835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84B98"/>
    <w:rsid w:val="000D7615"/>
    <w:rsid w:val="00120797"/>
    <w:rsid w:val="00134527"/>
    <w:rsid w:val="001C6F8E"/>
    <w:rsid w:val="001E6E73"/>
    <w:rsid w:val="00211E44"/>
    <w:rsid w:val="00231736"/>
    <w:rsid w:val="0023618C"/>
    <w:rsid w:val="0031580C"/>
    <w:rsid w:val="0034535B"/>
    <w:rsid w:val="003650D0"/>
    <w:rsid w:val="003A7CEA"/>
    <w:rsid w:val="003E2241"/>
    <w:rsid w:val="003E2F94"/>
    <w:rsid w:val="004107CA"/>
    <w:rsid w:val="005422DF"/>
    <w:rsid w:val="00544342"/>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813F67"/>
    <w:rsid w:val="00844CC8"/>
    <w:rsid w:val="00845F02"/>
    <w:rsid w:val="00855468"/>
    <w:rsid w:val="00933720"/>
    <w:rsid w:val="009501F5"/>
    <w:rsid w:val="009D1788"/>
    <w:rsid w:val="009D1F9E"/>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92AA2"/>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21</cp:revision>
  <dcterms:created xsi:type="dcterms:W3CDTF">2025-10-23T17:12:00Z</dcterms:created>
  <dcterms:modified xsi:type="dcterms:W3CDTF">2025-10-24T18:15:00Z</dcterms:modified>
</cp:coreProperties>
</file>