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5E4BAA6A"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0A5758">
        <w:rPr>
          <w:color w:val="000000" w:themeColor="text1"/>
          <w:sz w:val="44"/>
          <w:szCs w:val="44"/>
        </w:rPr>
        <w:t>San</w:t>
      </w:r>
      <w:r w:rsidR="001665FB">
        <w:rPr>
          <w:color w:val="000000" w:themeColor="text1"/>
          <w:sz w:val="44"/>
          <w:szCs w:val="44"/>
        </w:rPr>
        <w:t>ta Rosa de Osos</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2A44D857" w14:textId="77777777" w:rsidR="004E36A0" w:rsidRPr="004E36A0" w:rsidRDefault="004E36A0" w:rsidP="004E36A0">
      <w:pPr>
        <w:spacing w:line="360" w:lineRule="auto"/>
        <w:rPr>
          <w:rFonts w:ascii="Aptos" w:hAnsi="Aptos" w:cs="Times New Roman"/>
        </w:rPr>
      </w:pPr>
      <w:r w:rsidRPr="004E36A0">
        <w:rPr>
          <w:rFonts w:ascii="Aptos" w:hAnsi="Aptos" w:cs="Times New Roman"/>
        </w:rPr>
        <w:lastRenderedPageBreak/>
        <w:t>El estado actual de su normatividad tributaria se establece en el Acuerdo 016 de 2020.</w:t>
      </w:r>
    </w:p>
    <w:p w14:paraId="2E2C4EA2" w14:textId="77777777" w:rsidR="004E36A0" w:rsidRPr="004E36A0" w:rsidRDefault="004E36A0" w:rsidP="004E36A0">
      <w:pPr>
        <w:spacing w:line="360" w:lineRule="auto"/>
        <w:jc w:val="both"/>
        <w:rPr>
          <w:rFonts w:ascii="Aptos" w:hAnsi="Aptos" w:cs="Times New Roman"/>
          <w:b/>
          <w:bCs/>
          <w:sz w:val="32"/>
          <w:szCs w:val="32"/>
        </w:rPr>
      </w:pPr>
      <w:r w:rsidRPr="004E36A0">
        <w:rPr>
          <w:rFonts w:ascii="Aptos" w:hAnsi="Aptos" w:cs="Times New Roman"/>
          <w:b/>
          <w:bCs/>
          <w:sz w:val="32"/>
          <w:szCs w:val="32"/>
        </w:rPr>
        <w:t>Hallazgos</w:t>
      </w:r>
    </w:p>
    <w:p w14:paraId="74D16C33" w14:textId="77777777" w:rsidR="004E36A0" w:rsidRPr="004E36A0" w:rsidRDefault="004E36A0" w:rsidP="004E36A0">
      <w:pPr>
        <w:numPr>
          <w:ilvl w:val="0"/>
          <w:numId w:val="36"/>
        </w:numPr>
        <w:spacing w:line="240" w:lineRule="auto"/>
        <w:jc w:val="both"/>
        <w:rPr>
          <w:rFonts w:ascii="Aptos" w:hAnsi="Aptos" w:cs="Times New Roman"/>
        </w:rPr>
      </w:pPr>
      <w:r w:rsidRPr="004E36A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2130C815" w14:textId="77777777" w:rsidR="004E36A0" w:rsidRPr="004E36A0" w:rsidRDefault="004E36A0" w:rsidP="004E36A0">
      <w:pPr>
        <w:numPr>
          <w:ilvl w:val="0"/>
          <w:numId w:val="36"/>
        </w:numPr>
        <w:spacing w:line="240" w:lineRule="auto"/>
        <w:jc w:val="both"/>
        <w:rPr>
          <w:rFonts w:ascii="Aptos" w:hAnsi="Aptos" w:cs="Times New Roman"/>
        </w:rPr>
      </w:pPr>
      <w:r w:rsidRPr="004E36A0">
        <w:rPr>
          <w:rFonts w:ascii="Aptos" w:hAnsi="Aptos" w:cs="Times New Roman"/>
        </w:rPr>
        <w:t>Se desarrollan los elementos del IPU y se regulan destinaciones empleando categorías propias (p. ej., Unidad Agrícola Familiar – UAF) sin aclarar su correspondencia con la clasificación catastral vigente; ello abre vacíos de mapeo normativo entre la matriz tarifaria y la base catastral operativa.</w:t>
      </w:r>
    </w:p>
    <w:p w14:paraId="67788227" w14:textId="77777777" w:rsidR="004E36A0" w:rsidRPr="004E36A0" w:rsidRDefault="004E36A0" w:rsidP="004E36A0">
      <w:pPr>
        <w:numPr>
          <w:ilvl w:val="0"/>
          <w:numId w:val="36"/>
        </w:numPr>
        <w:spacing w:line="240" w:lineRule="auto"/>
        <w:jc w:val="both"/>
        <w:rPr>
          <w:rFonts w:ascii="Aptos" w:hAnsi="Aptos" w:cs="Times New Roman"/>
        </w:rPr>
      </w:pPr>
      <w:r w:rsidRPr="004E36A0">
        <w:rPr>
          <w:rFonts w:ascii="Aptos" w:hAnsi="Aptos" w:cs="Times New Roman"/>
        </w:rPr>
        <w:t>La matriz tarifaria fija tarifas planas entre 5×1000 y 16×1000 sin rangos de avalúo, lo que debilita la diferenciación y progresividad del impuesto y puede generar impactos desproporcionados entre predios de muy distinto valor.</w:t>
      </w:r>
    </w:p>
    <w:p w14:paraId="1525F8AC" w14:textId="77777777" w:rsidR="004E36A0" w:rsidRPr="004E36A0" w:rsidRDefault="004E36A0" w:rsidP="004E36A0">
      <w:pPr>
        <w:numPr>
          <w:ilvl w:val="0"/>
          <w:numId w:val="36"/>
        </w:numPr>
        <w:spacing w:line="240" w:lineRule="auto"/>
        <w:jc w:val="both"/>
        <w:rPr>
          <w:rFonts w:ascii="Aptos" w:hAnsi="Aptos" w:cs="Times New Roman"/>
        </w:rPr>
      </w:pPr>
      <w:r w:rsidRPr="004E36A0">
        <w:rPr>
          <w:rFonts w:ascii="Aptos" w:hAnsi="Aptos" w:cs="Times New Roman"/>
        </w:rPr>
        <w:t xml:space="preserve">Coexisten referencias imprecisas a “1×1000 de la tarifa autorizada” y a una “sobretasa del 1% sobre el IPU para el Fondo de Gestión del Riesgo”. La redacción mezcla </w:t>
      </w:r>
      <w:proofErr w:type="spellStart"/>
      <w:r w:rsidRPr="004E36A0">
        <w:rPr>
          <w:rFonts w:ascii="Aptos" w:hAnsi="Aptos" w:cs="Times New Roman"/>
        </w:rPr>
        <w:t>milaje</w:t>
      </w:r>
      <w:proofErr w:type="spellEnd"/>
      <w:r w:rsidRPr="004E36A0">
        <w:rPr>
          <w:rFonts w:ascii="Aptos" w:hAnsi="Aptos" w:cs="Times New Roman"/>
        </w:rPr>
        <w:t xml:space="preserve"> y porcentaje, no delimita base ni hecho generador, y confunde si se trata de destinación del recaudo o de un gravamen adicional, con riesgo de doble regulación y de desbordes frente al IPU.</w:t>
      </w:r>
    </w:p>
    <w:p w14:paraId="6CC1A48A" w14:textId="77777777" w:rsidR="004E36A0" w:rsidRPr="004E36A0" w:rsidRDefault="004E36A0" w:rsidP="004E36A0">
      <w:pPr>
        <w:numPr>
          <w:ilvl w:val="0"/>
          <w:numId w:val="36"/>
        </w:numPr>
        <w:spacing w:line="240" w:lineRule="auto"/>
        <w:jc w:val="both"/>
        <w:rPr>
          <w:rFonts w:ascii="Aptos" w:hAnsi="Aptos" w:cs="Times New Roman"/>
        </w:rPr>
      </w:pPr>
      <w:r w:rsidRPr="004E36A0">
        <w:rPr>
          <w:rFonts w:ascii="Aptos" w:hAnsi="Aptos" w:cs="Times New Roman"/>
        </w:rPr>
        <w:t>Se prevé aplicar la tarifa más alta cuando un predio tenga usos no autorizados por el PBOT, trasladando a la estructura tarifaria correctivos urbanísticos y desnaturalizando el IPU.</w:t>
      </w:r>
    </w:p>
    <w:p w14:paraId="5BD23BF7" w14:textId="77777777" w:rsidR="004E36A0" w:rsidRPr="004E36A0" w:rsidRDefault="004E36A0" w:rsidP="004E36A0">
      <w:pPr>
        <w:numPr>
          <w:ilvl w:val="0"/>
          <w:numId w:val="36"/>
        </w:numPr>
        <w:spacing w:line="240" w:lineRule="auto"/>
        <w:jc w:val="both"/>
        <w:rPr>
          <w:rFonts w:ascii="Aptos" w:hAnsi="Aptos" w:cs="Times New Roman"/>
        </w:rPr>
      </w:pPr>
      <w:r w:rsidRPr="004E36A0">
        <w:rPr>
          <w:rFonts w:ascii="Aptos" w:hAnsi="Aptos" w:cs="Times New Roman"/>
        </w:rPr>
        <w:t>La determinación oficial vía factura está prevista, pero faltan precisiones sobre notificación y contenido mínimo para conferir mérito ejecutivo de manera incuestionable.</w:t>
      </w:r>
    </w:p>
    <w:p w14:paraId="2B5359E9" w14:textId="77777777" w:rsidR="004E36A0" w:rsidRPr="004E36A0" w:rsidRDefault="004E36A0" w:rsidP="004E36A0">
      <w:pPr>
        <w:numPr>
          <w:ilvl w:val="0"/>
          <w:numId w:val="36"/>
        </w:numPr>
        <w:spacing w:line="240" w:lineRule="auto"/>
        <w:jc w:val="both"/>
        <w:rPr>
          <w:rFonts w:ascii="Aptos" w:hAnsi="Aptos" w:cs="Times New Roman"/>
        </w:rPr>
      </w:pPr>
      <w:r w:rsidRPr="004E36A0">
        <w:rPr>
          <w:rFonts w:ascii="Aptos" w:hAnsi="Aptos" w:cs="Times New Roman"/>
        </w:rPr>
        <w:t>Exenciones y beneficios: se mezclan prohibiciones legales con exenciones municipales y beneficios a entidades culturales o sin ánimo de lucro, usando expresiones como “condonación”, sin reglas completas de otorgamiento, control, duración y pérdida del beneficio, lo que puede afectar seguridad jurídica y control fiscal.</w:t>
      </w:r>
    </w:p>
    <w:p w14:paraId="37ACF7B1" w14:textId="77777777" w:rsidR="004E36A0" w:rsidRPr="004E36A0" w:rsidRDefault="004E36A0" w:rsidP="004E36A0">
      <w:pPr>
        <w:numPr>
          <w:ilvl w:val="0"/>
          <w:numId w:val="36"/>
        </w:numPr>
        <w:spacing w:line="240" w:lineRule="auto"/>
        <w:jc w:val="both"/>
        <w:rPr>
          <w:rFonts w:ascii="Aptos" w:hAnsi="Aptos" w:cs="Times New Roman"/>
        </w:rPr>
      </w:pPr>
      <w:r w:rsidRPr="004E36A0">
        <w:rPr>
          <w:rFonts w:ascii="Aptos" w:hAnsi="Aptos" w:cs="Times New Roman"/>
        </w:rPr>
        <w:t>Se incluyen incentivos para actividades agropecuarias/forestales y conservación de fauna y flora vinculados a suelos de producción de alimentos y protección ambiental, no se definen con precisión la extensión mínima protegida, la metodología de verificación, adicionalmente, se conceden beneficios sobre áreas ambientalmente sensibles (retiros de quebradas, zonas hídricas y de alto riesgo). Pero carece de reglas operativas, esto dificulta la gestión de incentivos de conservación y puede producir tratamientos dispares de suelos de protección o de función alimentaria.</w:t>
      </w:r>
    </w:p>
    <w:p w14:paraId="01A7160C" w14:textId="77777777" w:rsidR="004E36A0" w:rsidRPr="004E36A0" w:rsidRDefault="004E36A0" w:rsidP="004E36A0">
      <w:pPr>
        <w:spacing w:line="360" w:lineRule="auto"/>
        <w:jc w:val="both"/>
        <w:rPr>
          <w:rFonts w:ascii="Aptos" w:hAnsi="Aptos" w:cs="Times New Roman"/>
          <w:b/>
          <w:bCs/>
          <w:sz w:val="32"/>
          <w:szCs w:val="32"/>
        </w:rPr>
      </w:pPr>
      <w:r w:rsidRPr="004E36A0">
        <w:rPr>
          <w:rFonts w:ascii="Aptos" w:hAnsi="Aptos" w:cs="Times New Roman"/>
          <w:b/>
          <w:bCs/>
          <w:sz w:val="32"/>
          <w:szCs w:val="32"/>
        </w:rPr>
        <w:t>Recomendaciones</w:t>
      </w:r>
    </w:p>
    <w:p w14:paraId="02058E8C" w14:textId="77777777" w:rsidR="004E36A0" w:rsidRPr="004E36A0" w:rsidRDefault="004E36A0" w:rsidP="004E36A0">
      <w:pPr>
        <w:numPr>
          <w:ilvl w:val="0"/>
          <w:numId w:val="37"/>
        </w:numPr>
        <w:spacing w:line="240" w:lineRule="auto"/>
        <w:jc w:val="both"/>
        <w:rPr>
          <w:rFonts w:ascii="Aptos" w:hAnsi="Aptos" w:cs="Times New Roman"/>
        </w:rPr>
      </w:pPr>
      <w:r w:rsidRPr="004E36A0">
        <w:rPr>
          <w:rFonts w:ascii="Aptos" w:hAnsi="Aptos" w:cs="Times New Roman"/>
        </w:rPr>
        <w:t xml:space="preserve">Adelantar un proceso de actualización normativa que le permita armonizar su regulación con las disposiciones nacionales más recientes. En particular, resulta prioritario adoptar los </w:t>
      </w:r>
      <w:r w:rsidRPr="004E36A0">
        <w:rPr>
          <w:rFonts w:ascii="Aptos" w:hAnsi="Aptos" w:cs="Times New Roman"/>
        </w:rPr>
        <w:lastRenderedPageBreak/>
        <w:t>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A3A4F94" w14:textId="77777777" w:rsidR="004E36A0" w:rsidRPr="004E36A0" w:rsidRDefault="004E36A0" w:rsidP="004E36A0">
      <w:pPr>
        <w:numPr>
          <w:ilvl w:val="0"/>
          <w:numId w:val="37"/>
        </w:numPr>
        <w:spacing w:line="240" w:lineRule="auto"/>
        <w:jc w:val="both"/>
        <w:rPr>
          <w:rFonts w:ascii="Aptos" w:hAnsi="Aptos" w:cs="Times New Roman"/>
        </w:rPr>
      </w:pPr>
      <w:r w:rsidRPr="004E36A0">
        <w:rPr>
          <w:rFonts w:ascii="Aptos" w:hAnsi="Aptos" w:cs="Times New Roman"/>
        </w:rPr>
        <w:t>Aclarar la correspondencia entre cada destinación de la matriz (incluida UAF) y la clasificación catastral vigente; incorporar notas de alcance para eliminar vacíos de mapeo con la base catastral.</w:t>
      </w:r>
    </w:p>
    <w:p w14:paraId="1A0BA104" w14:textId="77777777" w:rsidR="004E36A0" w:rsidRPr="004E36A0" w:rsidRDefault="004E36A0" w:rsidP="004E36A0">
      <w:pPr>
        <w:numPr>
          <w:ilvl w:val="0"/>
          <w:numId w:val="37"/>
        </w:numPr>
        <w:spacing w:line="240" w:lineRule="auto"/>
        <w:jc w:val="both"/>
        <w:rPr>
          <w:rFonts w:ascii="Aptos" w:hAnsi="Aptos" w:cs="Times New Roman"/>
        </w:rPr>
      </w:pPr>
      <w:r w:rsidRPr="004E36A0">
        <w:rPr>
          <w:rFonts w:ascii="Aptos" w:hAnsi="Aptos" w:cs="Times New Roman"/>
        </w:rPr>
        <w:t>Rediseñar la matriz tarifaria introduciendo rangos por avalúo que aseguren diferenciación y progresividad, evitando tarifas planas que equiparan situaciones desiguales.</w:t>
      </w:r>
    </w:p>
    <w:p w14:paraId="4B2CE324" w14:textId="77777777" w:rsidR="004E36A0" w:rsidRPr="004E36A0" w:rsidRDefault="004E36A0" w:rsidP="004E36A0">
      <w:pPr>
        <w:numPr>
          <w:ilvl w:val="0"/>
          <w:numId w:val="37"/>
        </w:numPr>
        <w:spacing w:line="240" w:lineRule="auto"/>
        <w:jc w:val="both"/>
        <w:rPr>
          <w:rFonts w:ascii="Aptos" w:hAnsi="Aptos" w:cs="Times New Roman"/>
        </w:rPr>
      </w:pPr>
      <w:r w:rsidRPr="004E36A0">
        <w:rPr>
          <w:rFonts w:ascii="Aptos" w:hAnsi="Aptos" w:cs="Times New Roman"/>
        </w:rPr>
        <w:t>Unificar y precisar el tratamiento del “1×1000” y del “1%”: si la intención es destinar un porcentaje del recaudo del IPU a finalidades específicas (p. ej., Gestión del Riesgo o Deportes), consígnelo como regla de destinación del recaudo, sin crear un gravamen adicional; defina base, modo de cálculo, flujo y giro para prevenir doble contabilización.</w:t>
      </w:r>
    </w:p>
    <w:p w14:paraId="1412C59E" w14:textId="77777777" w:rsidR="004E36A0" w:rsidRPr="004E36A0" w:rsidRDefault="004E36A0" w:rsidP="004E36A0">
      <w:pPr>
        <w:numPr>
          <w:ilvl w:val="0"/>
          <w:numId w:val="37"/>
        </w:numPr>
        <w:spacing w:line="240" w:lineRule="auto"/>
        <w:jc w:val="both"/>
        <w:rPr>
          <w:rFonts w:ascii="Aptos" w:hAnsi="Aptos" w:cs="Times New Roman"/>
        </w:rPr>
      </w:pPr>
      <w:r w:rsidRPr="004E36A0">
        <w:rPr>
          <w:rFonts w:ascii="Aptos" w:hAnsi="Aptos" w:cs="Times New Roman"/>
        </w:rPr>
        <w:t>Eliminar la regla que aplica la tarifa más alta por usos no autorizados; ya que puede exceder la naturaleza del IPU.</w:t>
      </w:r>
    </w:p>
    <w:p w14:paraId="2F33FEFD" w14:textId="77777777" w:rsidR="004E36A0" w:rsidRPr="004E36A0" w:rsidRDefault="004E36A0" w:rsidP="004E36A0">
      <w:pPr>
        <w:numPr>
          <w:ilvl w:val="0"/>
          <w:numId w:val="37"/>
        </w:numPr>
        <w:spacing w:line="240" w:lineRule="auto"/>
        <w:jc w:val="both"/>
        <w:rPr>
          <w:rFonts w:ascii="Aptos" w:hAnsi="Aptos" w:cs="Times New Roman"/>
        </w:rPr>
      </w:pPr>
      <w:r w:rsidRPr="004E36A0">
        <w:rPr>
          <w:rFonts w:ascii="Aptos" w:hAnsi="Aptos" w:cs="Times New Roman"/>
        </w:rPr>
        <w:t>Fortalecer la determinación vía factura: detallar medios de notificación, constancias y contenido mínimo para mérito ejecutivo; explicitar el recurso de reconsideración y su trámite.</w:t>
      </w:r>
    </w:p>
    <w:p w14:paraId="78C9F969" w14:textId="77777777" w:rsidR="004E36A0" w:rsidRPr="004E36A0" w:rsidRDefault="004E36A0" w:rsidP="004E36A0">
      <w:pPr>
        <w:numPr>
          <w:ilvl w:val="0"/>
          <w:numId w:val="37"/>
        </w:numPr>
        <w:spacing w:line="240" w:lineRule="auto"/>
        <w:jc w:val="both"/>
        <w:rPr>
          <w:rFonts w:ascii="Aptos" w:hAnsi="Aptos" w:cs="Times New Roman"/>
        </w:rPr>
      </w:pPr>
      <w:r w:rsidRPr="004E36A0">
        <w:rPr>
          <w:rFonts w:ascii="Aptos" w:hAnsi="Aptos" w:cs="Times New Roman"/>
        </w:rPr>
        <w:t>Ordenar exenciones y beneficios: separar prohibiciones legales de exenciones municipales; clarificar a que se refiere con “condonación”. Definir requisitos Para acceder a esto beneficios, la duración y mecanismos de control</w:t>
      </w:r>
    </w:p>
    <w:p w14:paraId="7772389D" w14:textId="77777777" w:rsidR="004E36A0" w:rsidRPr="004E36A0" w:rsidRDefault="004E36A0" w:rsidP="004E36A0">
      <w:pPr>
        <w:numPr>
          <w:ilvl w:val="0"/>
          <w:numId w:val="37"/>
        </w:numPr>
        <w:spacing w:line="240" w:lineRule="auto"/>
        <w:jc w:val="both"/>
        <w:rPr>
          <w:rFonts w:ascii="Aptos" w:hAnsi="Aptos" w:cs="Times New Roman"/>
        </w:rPr>
      </w:pPr>
      <w:r w:rsidRPr="004E36A0">
        <w:rPr>
          <w:rFonts w:ascii="Aptos" w:hAnsi="Aptos" w:cs="Times New Roman"/>
        </w:rPr>
        <w:t>Ambiental/uso del suelo: parametrizar los incentivos ligados a suelos de producción de alimentos y conservación; precisar el tratamiento de retiros de quebradas, zonas hídricas y alto riesgo en la liquidación para así asegurar la aplicación homogénea de los beneficios.</w:t>
      </w:r>
    </w:p>
    <w:p w14:paraId="73F2C875" w14:textId="77777777" w:rsidR="004E36A0" w:rsidRPr="004E36A0" w:rsidRDefault="004E36A0" w:rsidP="004E36A0">
      <w:pPr>
        <w:numPr>
          <w:ilvl w:val="0"/>
          <w:numId w:val="37"/>
        </w:numPr>
        <w:spacing w:line="240" w:lineRule="auto"/>
        <w:jc w:val="both"/>
        <w:rPr>
          <w:rFonts w:ascii="Aptos" w:hAnsi="Aptos" w:cs="Times New Roman"/>
        </w:rPr>
      </w:pPr>
      <w:r w:rsidRPr="004E36A0">
        <w:rPr>
          <w:rFonts w:ascii="Aptos" w:hAnsi="Aptos" w:cs="Times New Roman"/>
        </w:rPr>
        <w:t>Indicar de forma expresa la adopción o no de sobretasa bomberil y de alumbrado público; si se adoptan, definir hecho generador, base, tarifa y límites, para impedir interpretaciones que desborden el IPU.</w:t>
      </w:r>
    </w:p>
    <w:p w14:paraId="59F5D9C1" w14:textId="77777777" w:rsidR="00707E60" w:rsidRPr="000A5758"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D3C43" w14:textId="77777777" w:rsidR="006D6F1E" w:rsidRDefault="006D6F1E" w:rsidP="00707E60">
      <w:pPr>
        <w:spacing w:after="0" w:line="240" w:lineRule="auto"/>
      </w:pPr>
      <w:r>
        <w:separator/>
      </w:r>
    </w:p>
  </w:endnote>
  <w:endnote w:type="continuationSeparator" w:id="0">
    <w:p w14:paraId="11F6C58A" w14:textId="77777777" w:rsidR="006D6F1E" w:rsidRDefault="006D6F1E"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60AE" w14:textId="77777777" w:rsidR="006D6F1E" w:rsidRDefault="006D6F1E" w:rsidP="00707E60">
      <w:pPr>
        <w:spacing w:after="0" w:line="240" w:lineRule="auto"/>
      </w:pPr>
      <w:r>
        <w:separator/>
      </w:r>
    </w:p>
  </w:footnote>
  <w:footnote w:type="continuationSeparator" w:id="0">
    <w:p w14:paraId="5EC52BB1" w14:textId="77777777" w:rsidR="006D6F1E" w:rsidRDefault="006D6F1E"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CF947A5"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0A5758">
                            <w:rPr>
                              <w:color w:val="000000" w:themeColor="text1"/>
                              <w:sz w:val="28"/>
                              <w:szCs w:val="28"/>
                            </w:rPr>
                            <w:t>San</w:t>
                          </w:r>
                          <w:r w:rsidR="001665FB">
                            <w:rPr>
                              <w:color w:val="000000" w:themeColor="text1"/>
                              <w:sz w:val="28"/>
                              <w:szCs w:val="28"/>
                            </w:rPr>
                            <w:t>ta Rosa de Osos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CF947A5"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0A5758">
                      <w:rPr>
                        <w:color w:val="000000" w:themeColor="text1"/>
                        <w:sz w:val="28"/>
                        <w:szCs w:val="28"/>
                      </w:rPr>
                      <w:t>San</w:t>
                    </w:r>
                    <w:r w:rsidR="001665FB">
                      <w:rPr>
                        <w:color w:val="000000" w:themeColor="text1"/>
                        <w:sz w:val="28"/>
                        <w:szCs w:val="28"/>
                      </w:rPr>
                      <w:t>ta Rosa de Osos</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D409DF"/>
    <w:multiLevelType w:val="multilevel"/>
    <w:tmpl w:val="A12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20BBA"/>
    <w:multiLevelType w:val="multilevel"/>
    <w:tmpl w:val="004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997892"/>
    <w:multiLevelType w:val="multilevel"/>
    <w:tmpl w:val="828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C6DE2"/>
    <w:multiLevelType w:val="multilevel"/>
    <w:tmpl w:val="6BF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1F507A"/>
    <w:multiLevelType w:val="multilevel"/>
    <w:tmpl w:val="579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10"/>
  </w:num>
  <w:num w:numId="2" w16cid:durableId="1017347282">
    <w:abstractNumId w:val="16"/>
  </w:num>
  <w:num w:numId="3" w16cid:durableId="44450645">
    <w:abstractNumId w:val="27"/>
  </w:num>
  <w:num w:numId="4" w16cid:durableId="1953855267">
    <w:abstractNumId w:val="0"/>
  </w:num>
  <w:num w:numId="5" w16cid:durableId="279457733">
    <w:abstractNumId w:val="12"/>
  </w:num>
  <w:num w:numId="6" w16cid:durableId="829055416">
    <w:abstractNumId w:val="1"/>
  </w:num>
  <w:num w:numId="7" w16cid:durableId="1974747392">
    <w:abstractNumId w:val="8"/>
  </w:num>
  <w:num w:numId="8" w16cid:durableId="1342120387">
    <w:abstractNumId w:val="22"/>
  </w:num>
  <w:num w:numId="9" w16cid:durableId="350257001">
    <w:abstractNumId w:val="7"/>
  </w:num>
  <w:num w:numId="10" w16cid:durableId="1078140204">
    <w:abstractNumId w:val="13"/>
  </w:num>
  <w:num w:numId="11" w16cid:durableId="1792938771">
    <w:abstractNumId w:val="14"/>
  </w:num>
  <w:num w:numId="12" w16cid:durableId="1526560268">
    <w:abstractNumId w:val="31"/>
  </w:num>
  <w:num w:numId="13" w16cid:durableId="684139451">
    <w:abstractNumId w:val="33"/>
  </w:num>
  <w:num w:numId="14" w16cid:durableId="2066485375">
    <w:abstractNumId w:val="34"/>
  </w:num>
  <w:num w:numId="15" w16cid:durableId="1048799774">
    <w:abstractNumId w:val="5"/>
  </w:num>
  <w:num w:numId="16" w16cid:durableId="763765178">
    <w:abstractNumId w:val="18"/>
  </w:num>
  <w:num w:numId="17" w16cid:durableId="312298011">
    <w:abstractNumId w:val="26"/>
  </w:num>
  <w:num w:numId="18" w16cid:durableId="1720469911">
    <w:abstractNumId w:val="19"/>
  </w:num>
  <w:num w:numId="19" w16cid:durableId="435371494">
    <w:abstractNumId w:val="24"/>
  </w:num>
  <w:num w:numId="20" w16cid:durableId="295719448">
    <w:abstractNumId w:val="25"/>
  </w:num>
  <w:num w:numId="21" w16cid:durableId="1577745992">
    <w:abstractNumId w:val="15"/>
  </w:num>
  <w:num w:numId="22" w16cid:durableId="1267925568">
    <w:abstractNumId w:val="29"/>
  </w:num>
  <w:num w:numId="23" w16cid:durableId="1861967186">
    <w:abstractNumId w:val="9"/>
  </w:num>
  <w:num w:numId="24" w16cid:durableId="601374337">
    <w:abstractNumId w:val="30"/>
  </w:num>
  <w:num w:numId="25" w16cid:durableId="1162700760">
    <w:abstractNumId w:val="32"/>
  </w:num>
  <w:num w:numId="26" w16cid:durableId="581332385">
    <w:abstractNumId w:val="17"/>
  </w:num>
  <w:num w:numId="27" w16cid:durableId="423887808">
    <w:abstractNumId w:val="28"/>
  </w:num>
  <w:num w:numId="28" w16cid:durableId="1186863597">
    <w:abstractNumId w:val="36"/>
  </w:num>
  <w:num w:numId="29" w16cid:durableId="340359362">
    <w:abstractNumId w:val="2"/>
  </w:num>
  <w:num w:numId="30" w16cid:durableId="1619264905">
    <w:abstractNumId w:val="3"/>
  </w:num>
  <w:num w:numId="31" w16cid:durableId="97989699">
    <w:abstractNumId w:val="11"/>
  </w:num>
  <w:num w:numId="32" w16cid:durableId="55206863">
    <w:abstractNumId w:val="20"/>
  </w:num>
  <w:num w:numId="33" w16cid:durableId="2040545959">
    <w:abstractNumId w:val="23"/>
  </w:num>
  <w:num w:numId="34" w16cid:durableId="437526546">
    <w:abstractNumId w:val="21"/>
  </w:num>
  <w:num w:numId="35" w16cid:durableId="1634217144">
    <w:abstractNumId w:val="4"/>
  </w:num>
  <w:num w:numId="36" w16cid:durableId="1333920831">
    <w:abstractNumId w:val="35"/>
  </w:num>
  <w:num w:numId="37" w16cid:durableId="195700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0A5758"/>
    <w:rsid w:val="000C571B"/>
    <w:rsid w:val="00120797"/>
    <w:rsid w:val="00134527"/>
    <w:rsid w:val="001665FB"/>
    <w:rsid w:val="001C6F8E"/>
    <w:rsid w:val="00211E44"/>
    <w:rsid w:val="00231736"/>
    <w:rsid w:val="0023618C"/>
    <w:rsid w:val="0031580C"/>
    <w:rsid w:val="0034535B"/>
    <w:rsid w:val="003650D0"/>
    <w:rsid w:val="003A7CEA"/>
    <w:rsid w:val="003E2241"/>
    <w:rsid w:val="003E2F94"/>
    <w:rsid w:val="004107CA"/>
    <w:rsid w:val="004E36A0"/>
    <w:rsid w:val="005422DF"/>
    <w:rsid w:val="00544342"/>
    <w:rsid w:val="005C3FCA"/>
    <w:rsid w:val="005D08ED"/>
    <w:rsid w:val="005F7A75"/>
    <w:rsid w:val="00605B4C"/>
    <w:rsid w:val="006348C8"/>
    <w:rsid w:val="00665846"/>
    <w:rsid w:val="006A249B"/>
    <w:rsid w:val="006A428E"/>
    <w:rsid w:val="006D6F1E"/>
    <w:rsid w:val="006E68D4"/>
    <w:rsid w:val="00701CC9"/>
    <w:rsid w:val="00707E60"/>
    <w:rsid w:val="00723620"/>
    <w:rsid w:val="00740366"/>
    <w:rsid w:val="0075330F"/>
    <w:rsid w:val="007C2E1E"/>
    <w:rsid w:val="007D1D7D"/>
    <w:rsid w:val="00813F67"/>
    <w:rsid w:val="00844CC8"/>
    <w:rsid w:val="00845F02"/>
    <w:rsid w:val="00855468"/>
    <w:rsid w:val="00933720"/>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22</cp:revision>
  <dcterms:created xsi:type="dcterms:W3CDTF">2025-10-23T17:12:00Z</dcterms:created>
  <dcterms:modified xsi:type="dcterms:W3CDTF">2025-10-30T14:15:00Z</dcterms:modified>
</cp:coreProperties>
</file>