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544CAB35"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B9597A">
        <w:rPr>
          <w:color w:val="000000" w:themeColor="text1"/>
          <w:sz w:val="44"/>
          <w:szCs w:val="44"/>
        </w:rPr>
        <w:t>San</w:t>
      </w:r>
      <w:r w:rsidR="00C4509C">
        <w:rPr>
          <w:color w:val="000000" w:themeColor="text1"/>
          <w:sz w:val="44"/>
          <w:szCs w:val="44"/>
        </w:rPr>
        <w:t>to Domingo</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7FBDA875" w14:textId="77777777" w:rsidR="00C4509C" w:rsidRPr="00C4509C" w:rsidRDefault="00C4509C" w:rsidP="00C4509C">
      <w:pPr>
        <w:jc w:val="both"/>
        <w:rPr>
          <w:rFonts w:ascii="Aptos" w:hAnsi="Aptos" w:cs="Times New Roman"/>
        </w:rPr>
      </w:pPr>
      <w:r w:rsidRPr="00C4509C">
        <w:rPr>
          <w:rFonts w:ascii="Aptos" w:hAnsi="Aptos" w:cs="Times New Roman"/>
        </w:rPr>
        <w:lastRenderedPageBreak/>
        <w:t>El estado actual de su normatividad tributaria se establece en el acuerdo: 22 de 2021</w:t>
      </w:r>
    </w:p>
    <w:p w14:paraId="29F49235" w14:textId="77777777" w:rsidR="00C4509C" w:rsidRPr="00C4509C" w:rsidRDefault="00C4509C" w:rsidP="00C4509C">
      <w:pPr>
        <w:spacing w:line="360" w:lineRule="auto"/>
        <w:jc w:val="both"/>
        <w:rPr>
          <w:rFonts w:ascii="Aptos" w:hAnsi="Aptos" w:cs="Times New Roman"/>
          <w:b/>
          <w:bCs/>
          <w:sz w:val="32"/>
          <w:szCs w:val="32"/>
        </w:rPr>
      </w:pPr>
      <w:r w:rsidRPr="00C4509C">
        <w:rPr>
          <w:rFonts w:ascii="Aptos" w:hAnsi="Aptos" w:cs="Times New Roman"/>
          <w:b/>
          <w:bCs/>
          <w:sz w:val="32"/>
          <w:szCs w:val="32"/>
        </w:rPr>
        <w:t>Hallazgos</w:t>
      </w:r>
    </w:p>
    <w:p w14:paraId="2699BEEB" w14:textId="77777777" w:rsidR="00C4509C" w:rsidRPr="00C4509C" w:rsidRDefault="00C4509C" w:rsidP="00C4509C">
      <w:pPr>
        <w:numPr>
          <w:ilvl w:val="0"/>
          <w:numId w:val="13"/>
        </w:numPr>
        <w:spacing w:line="360" w:lineRule="auto"/>
        <w:jc w:val="both"/>
        <w:rPr>
          <w:rFonts w:ascii="Aptos" w:hAnsi="Aptos" w:cs="Times New Roman"/>
        </w:rPr>
      </w:pPr>
      <w:r w:rsidRPr="00C4509C">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733DF1AB" w14:textId="77777777" w:rsidR="00C4509C" w:rsidRPr="00C4509C" w:rsidRDefault="00C4509C" w:rsidP="00C4509C">
      <w:pPr>
        <w:numPr>
          <w:ilvl w:val="0"/>
          <w:numId w:val="13"/>
        </w:numPr>
        <w:spacing w:line="360" w:lineRule="auto"/>
        <w:jc w:val="both"/>
        <w:rPr>
          <w:rFonts w:ascii="Aptos" w:hAnsi="Aptos" w:cs="Times New Roman"/>
        </w:rPr>
      </w:pPr>
      <w:r w:rsidRPr="00C4509C">
        <w:rPr>
          <w:rFonts w:ascii="Aptos" w:hAnsi="Aptos" w:cs="Times New Roman"/>
        </w:rPr>
        <w:t>Las definiciones catastrales del artículo 30 se basan en la Resolución 70 de 2011, que debe actualizarse conforme a la Resolución 1040 de 2023.</w:t>
      </w:r>
    </w:p>
    <w:p w14:paraId="2A6D2515" w14:textId="77777777" w:rsidR="00C4509C" w:rsidRPr="00C4509C" w:rsidRDefault="00C4509C" w:rsidP="00C4509C">
      <w:pPr>
        <w:numPr>
          <w:ilvl w:val="0"/>
          <w:numId w:val="13"/>
        </w:numPr>
        <w:spacing w:line="360" w:lineRule="auto"/>
        <w:jc w:val="both"/>
        <w:rPr>
          <w:rFonts w:ascii="Aptos" w:hAnsi="Aptos" w:cs="Times New Roman"/>
        </w:rPr>
      </w:pPr>
      <w:r w:rsidRPr="00C4509C">
        <w:rPr>
          <w:rFonts w:ascii="Aptos" w:hAnsi="Aptos" w:cs="Times New Roman"/>
        </w:rPr>
        <w:t>La matriz tarifaria se define por rangos de avalúo con tarifas 6‰–16‰ para urbanos, hasta 33‰ para urbanizables no urbanizados/no construidos, y 5‰–14‰ en rural.</w:t>
      </w:r>
    </w:p>
    <w:p w14:paraId="38346920" w14:textId="77777777" w:rsidR="00C4509C" w:rsidRPr="00C4509C" w:rsidRDefault="00C4509C" w:rsidP="00C4509C">
      <w:pPr>
        <w:numPr>
          <w:ilvl w:val="0"/>
          <w:numId w:val="13"/>
        </w:numPr>
        <w:spacing w:line="360" w:lineRule="auto"/>
        <w:jc w:val="both"/>
        <w:rPr>
          <w:rFonts w:ascii="Aptos" w:hAnsi="Aptos" w:cs="Times New Roman"/>
        </w:rPr>
      </w:pPr>
      <w:r w:rsidRPr="00C4509C">
        <w:rPr>
          <w:rFonts w:ascii="Aptos" w:hAnsi="Aptos" w:cs="Times New Roman"/>
        </w:rPr>
        <w:t>El municipio adopta los límites de la Ley 1995 de 2019 y regula la determinación oficial vía factura con cobro trimestral.</w:t>
      </w:r>
    </w:p>
    <w:p w14:paraId="4DB1C9F0" w14:textId="77777777" w:rsidR="00C4509C" w:rsidRPr="00C4509C" w:rsidRDefault="00C4509C" w:rsidP="00C4509C">
      <w:pPr>
        <w:numPr>
          <w:ilvl w:val="0"/>
          <w:numId w:val="13"/>
        </w:numPr>
        <w:spacing w:line="360" w:lineRule="auto"/>
        <w:jc w:val="both"/>
        <w:rPr>
          <w:rFonts w:ascii="Aptos" w:hAnsi="Aptos" w:cs="Times New Roman"/>
        </w:rPr>
      </w:pPr>
      <w:r w:rsidRPr="00C4509C">
        <w:rPr>
          <w:rFonts w:ascii="Aptos" w:hAnsi="Aptos" w:cs="Times New Roman"/>
        </w:rPr>
        <w:t>Se establecen descuentos ambientales entre 10 % y 50 %. Se definen inmuebles de gravamen prohibido (iglesias y uso público).</w:t>
      </w:r>
    </w:p>
    <w:p w14:paraId="389CE9CF" w14:textId="77777777" w:rsidR="00C4509C" w:rsidRPr="00C4509C" w:rsidRDefault="00C4509C" w:rsidP="00C4509C">
      <w:pPr>
        <w:numPr>
          <w:ilvl w:val="0"/>
          <w:numId w:val="13"/>
        </w:numPr>
        <w:spacing w:line="360" w:lineRule="auto"/>
        <w:jc w:val="both"/>
        <w:rPr>
          <w:rFonts w:ascii="Aptos" w:hAnsi="Aptos" w:cs="Times New Roman"/>
        </w:rPr>
      </w:pPr>
      <w:r w:rsidRPr="00C4509C">
        <w:rPr>
          <w:rFonts w:ascii="Aptos" w:hAnsi="Aptos" w:cs="Times New Roman"/>
        </w:rPr>
        <w:t>Sobretasa ambiental de 1,5‰ sobre el avalúo.</w:t>
      </w:r>
    </w:p>
    <w:p w14:paraId="76C27A12" w14:textId="77777777" w:rsidR="00C4509C" w:rsidRPr="00C4509C" w:rsidRDefault="00C4509C" w:rsidP="00C4509C">
      <w:pPr>
        <w:numPr>
          <w:ilvl w:val="0"/>
          <w:numId w:val="13"/>
        </w:numPr>
        <w:spacing w:line="360" w:lineRule="auto"/>
        <w:jc w:val="both"/>
        <w:rPr>
          <w:rFonts w:ascii="Aptos" w:hAnsi="Aptos" w:cs="Times New Roman"/>
        </w:rPr>
      </w:pPr>
      <w:r w:rsidRPr="00C4509C">
        <w:rPr>
          <w:rFonts w:ascii="Aptos" w:hAnsi="Aptos" w:cs="Times New Roman"/>
        </w:rPr>
        <w:t>Alumbrado público: tarifa del 1 % sobre el avalúo para predios no usuarios de energía eléctrica, sin límites de crecimiento frente a actualización o rezago catastral.</w:t>
      </w:r>
    </w:p>
    <w:p w14:paraId="1DD1F682" w14:textId="77777777" w:rsidR="00C4509C" w:rsidRPr="00C4509C" w:rsidRDefault="00C4509C" w:rsidP="00C4509C">
      <w:pPr>
        <w:numPr>
          <w:ilvl w:val="0"/>
          <w:numId w:val="13"/>
        </w:numPr>
        <w:spacing w:line="360" w:lineRule="auto"/>
        <w:jc w:val="both"/>
        <w:rPr>
          <w:rFonts w:ascii="Aptos" w:hAnsi="Aptos" w:cs="Times New Roman"/>
        </w:rPr>
      </w:pPr>
      <w:r w:rsidRPr="00C4509C">
        <w:rPr>
          <w:rFonts w:ascii="Aptos" w:hAnsi="Aptos" w:cs="Times New Roman"/>
        </w:rPr>
        <w:t>Sobretasa bomberil: contradicción entre el art. 222 (elementos iguales a los del IPU) y los arts. 223 y 224 (base: valor liquidado del ICA con tarifa 2 %), generando incertidumbre sobre la base gravable real y sus efectos en actualización/rezago.</w:t>
      </w:r>
    </w:p>
    <w:p w14:paraId="1AEA9758" w14:textId="77777777" w:rsidR="00C4509C" w:rsidRPr="00C4509C" w:rsidRDefault="00C4509C" w:rsidP="00C4509C">
      <w:pPr>
        <w:numPr>
          <w:ilvl w:val="0"/>
          <w:numId w:val="13"/>
        </w:numPr>
        <w:spacing w:line="360" w:lineRule="auto"/>
        <w:jc w:val="both"/>
        <w:rPr>
          <w:rFonts w:ascii="Aptos" w:hAnsi="Aptos" w:cs="Times New Roman"/>
        </w:rPr>
      </w:pPr>
      <w:r w:rsidRPr="00C4509C">
        <w:rPr>
          <w:rFonts w:ascii="Aptos" w:hAnsi="Aptos" w:cs="Times New Roman"/>
        </w:rPr>
        <w:t>Beneficio tributario para bienes inmuebles que se utilicen para la conservación del medio ambiente, cuencas hidrográficas y nacimientos de agua. Se les otorga un descuento en función del área de conservación.</w:t>
      </w:r>
    </w:p>
    <w:p w14:paraId="34BCD4B3" w14:textId="77777777" w:rsidR="00C4509C" w:rsidRPr="00C4509C" w:rsidRDefault="00C4509C" w:rsidP="00C4509C">
      <w:pPr>
        <w:spacing w:line="360" w:lineRule="auto"/>
        <w:jc w:val="both"/>
        <w:rPr>
          <w:rFonts w:ascii="Aptos" w:hAnsi="Aptos" w:cs="Times New Roman"/>
          <w:b/>
          <w:bCs/>
          <w:sz w:val="32"/>
          <w:szCs w:val="32"/>
        </w:rPr>
      </w:pPr>
      <w:r w:rsidRPr="00C4509C">
        <w:rPr>
          <w:rFonts w:ascii="Aptos" w:hAnsi="Aptos" w:cs="Times New Roman"/>
          <w:b/>
          <w:bCs/>
          <w:sz w:val="32"/>
          <w:szCs w:val="32"/>
        </w:rPr>
        <w:t>Recomendaciones</w:t>
      </w:r>
    </w:p>
    <w:p w14:paraId="4B38A6AD" w14:textId="77777777" w:rsidR="00C4509C" w:rsidRPr="00C4509C" w:rsidRDefault="00C4509C" w:rsidP="00C4509C">
      <w:pPr>
        <w:numPr>
          <w:ilvl w:val="0"/>
          <w:numId w:val="14"/>
        </w:numPr>
        <w:spacing w:line="360" w:lineRule="auto"/>
        <w:jc w:val="both"/>
        <w:rPr>
          <w:rFonts w:ascii="Aptos" w:hAnsi="Aptos" w:cs="Times New Roman"/>
        </w:rPr>
      </w:pPr>
      <w:r w:rsidRPr="00C4509C">
        <w:rPr>
          <w:rFonts w:ascii="Aptos" w:hAnsi="Aptos" w:cs="Times New Roman"/>
        </w:rPr>
        <w:lastRenderedPageBreak/>
        <w:t>Adelantar un proceso de actualización normativa que armonice con la Resolución 1040 de 2023 en materia catastral y actualice la tabla de destinos conforme a la Resolución 2025060163216, asegurando que todos los destinos del LADM-COL v4.1 cuenten con tarifa definida y evitando pérdida de ingresos.</w:t>
      </w:r>
    </w:p>
    <w:p w14:paraId="575F17E8" w14:textId="77777777" w:rsidR="00C4509C" w:rsidRPr="00C4509C" w:rsidRDefault="00C4509C" w:rsidP="00C4509C">
      <w:pPr>
        <w:numPr>
          <w:ilvl w:val="0"/>
          <w:numId w:val="14"/>
        </w:numPr>
        <w:spacing w:line="360" w:lineRule="auto"/>
        <w:jc w:val="both"/>
        <w:rPr>
          <w:rFonts w:ascii="Aptos" w:hAnsi="Aptos" w:cs="Times New Roman"/>
        </w:rPr>
      </w:pPr>
      <w:r w:rsidRPr="00C4509C">
        <w:rPr>
          <w:rFonts w:ascii="Aptos" w:hAnsi="Aptos" w:cs="Times New Roman"/>
        </w:rPr>
        <w:t>Unificar y aclarar la sobretasa bomberil, precisando de manera coherente la base gravable (IPU o ICA) para eliminar la contradicción entre los arts. 222–224 y garantizar validez del cobro.</w:t>
      </w:r>
    </w:p>
    <w:p w14:paraId="7625100C" w14:textId="77777777" w:rsidR="00C4509C" w:rsidRPr="00C4509C" w:rsidRDefault="00C4509C" w:rsidP="00C4509C">
      <w:pPr>
        <w:numPr>
          <w:ilvl w:val="0"/>
          <w:numId w:val="14"/>
        </w:numPr>
        <w:spacing w:line="360" w:lineRule="auto"/>
        <w:jc w:val="both"/>
        <w:rPr>
          <w:rFonts w:ascii="Aptos" w:hAnsi="Aptos" w:cs="Times New Roman"/>
        </w:rPr>
      </w:pPr>
      <w:r w:rsidRPr="00C4509C">
        <w:rPr>
          <w:rFonts w:ascii="Aptos" w:hAnsi="Aptos" w:cs="Times New Roman"/>
        </w:rPr>
        <w:t>Regular límites y metodología para la sobretasa de alumbrado público aplicable a predios no usuarios de energía, definiendo expresamente base gravable y topes de crecimiento frente a actualización/rezago, a fin de prevenir incrementos desproporcionados.</w:t>
      </w:r>
    </w:p>
    <w:p w14:paraId="06E5845D" w14:textId="77777777" w:rsidR="00C4509C" w:rsidRPr="00C4509C" w:rsidRDefault="00C4509C" w:rsidP="00C4509C">
      <w:pPr>
        <w:numPr>
          <w:ilvl w:val="0"/>
          <w:numId w:val="14"/>
        </w:numPr>
        <w:spacing w:line="360" w:lineRule="auto"/>
        <w:jc w:val="both"/>
        <w:rPr>
          <w:rFonts w:ascii="Aptos" w:hAnsi="Aptos" w:cs="Times New Roman"/>
        </w:rPr>
      </w:pPr>
      <w:r w:rsidRPr="00C4509C">
        <w:rPr>
          <w:rFonts w:ascii="Aptos" w:hAnsi="Aptos" w:cs="Times New Roman"/>
        </w:rPr>
        <w:t>Unificar el régimen de la sobretasa bomberil en el Estatuto precisando una única base gravable (IPU o ICA) y derogando la regla en conflicto, armonizando los arts. 222–224. Alinear hecho generador y base gravable, prohibiendo la concurrencia simultánea sobre IPU e ICA. Definir la metodología de determinación y el período de causación (los detalles operativos podrán remitirse a reglamentación). Si se opta por IPU, prever límites/gradualidad frente a actualización o rezago catastral</w:t>
      </w:r>
    </w:p>
    <w:p w14:paraId="2E139BC2" w14:textId="77777777" w:rsidR="00C4509C" w:rsidRPr="00C4509C" w:rsidRDefault="00C4509C" w:rsidP="00C4509C">
      <w:pPr>
        <w:numPr>
          <w:ilvl w:val="0"/>
          <w:numId w:val="14"/>
        </w:numPr>
        <w:jc w:val="both"/>
        <w:rPr>
          <w:rFonts w:ascii="Aptos" w:hAnsi="Aptos" w:cs="Times New Roman"/>
        </w:rPr>
      </w:pPr>
      <w:r w:rsidRPr="00C4509C">
        <w:rPr>
          <w:rFonts w:ascii="Aptos" w:hAnsi="Aptos" w:cs="Times New Roman"/>
        </w:rPr>
        <w:t>Establecer límites máximos anuales y reglas de gradualidad para los incrementos del IPU derivados de actualizaciones y rezago catastral, complementando la remisión al artículo 6 de la Ley 44 de 1990 con los lineamientos de la Ley 1995 de 2019.</w:t>
      </w:r>
    </w:p>
    <w:p w14:paraId="597059D7" w14:textId="77777777" w:rsidR="00707E60" w:rsidRDefault="00707E60"/>
    <w:p w14:paraId="412E737A" w14:textId="77777777" w:rsidR="00707E60" w:rsidRDefault="00707E60"/>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425A9" w14:textId="77777777" w:rsidR="00B9278F" w:rsidRDefault="00B9278F" w:rsidP="00707E60">
      <w:pPr>
        <w:spacing w:after="0" w:line="240" w:lineRule="auto"/>
      </w:pPr>
      <w:r>
        <w:separator/>
      </w:r>
    </w:p>
  </w:endnote>
  <w:endnote w:type="continuationSeparator" w:id="0">
    <w:p w14:paraId="405B8B74" w14:textId="77777777" w:rsidR="00B9278F" w:rsidRDefault="00B9278F"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593F7" w14:textId="77777777" w:rsidR="00B9278F" w:rsidRDefault="00B9278F" w:rsidP="00707E60">
      <w:pPr>
        <w:spacing w:after="0" w:line="240" w:lineRule="auto"/>
      </w:pPr>
      <w:r>
        <w:separator/>
      </w:r>
    </w:p>
  </w:footnote>
  <w:footnote w:type="continuationSeparator" w:id="0">
    <w:p w14:paraId="0BFD3914" w14:textId="77777777" w:rsidR="00B9278F" w:rsidRDefault="00B9278F"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4094A26D"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B9597A">
                            <w:rPr>
                              <w:color w:val="000000" w:themeColor="text1"/>
                              <w:sz w:val="28"/>
                              <w:szCs w:val="28"/>
                            </w:rPr>
                            <w:t>Sa</w:t>
                          </w:r>
                          <w:r w:rsidR="00C4509C">
                            <w:rPr>
                              <w:color w:val="000000" w:themeColor="text1"/>
                              <w:sz w:val="28"/>
                              <w:szCs w:val="28"/>
                            </w:rPr>
                            <w:t>nto Domingo</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4094A26D"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B9597A">
                      <w:rPr>
                        <w:color w:val="000000" w:themeColor="text1"/>
                        <w:sz w:val="28"/>
                        <w:szCs w:val="28"/>
                      </w:rPr>
                      <w:t>Sa</w:t>
                    </w:r>
                    <w:r w:rsidR="00C4509C">
                      <w:rPr>
                        <w:color w:val="000000" w:themeColor="text1"/>
                        <w:sz w:val="28"/>
                        <w:szCs w:val="28"/>
                      </w:rPr>
                      <w:t>nto Domingo</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4"/>
  </w:num>
  <w:num w:numId="2" w16cid:durableId="1017347282">
    <w:abstractNumId w:val="8"/>
  </w:num>
  <w:num w:numId="3" w16cid:durableId="44450645">
    <w:abstractNumId w:val="10"/>
  </w:num>
  <w:num w:numId="4" w16cid:durableId="1953855267">
    <w:abstractNumId w:val="0"/>
  </w:num>
  <w:num w:numId="5" w16cid:durableId="279457733">
    <w:abstractNumId w:val="5"/>
  </w:num>
  <w:num w:numId="6" w16cid:durableId="829055416">
    <w:abstractNumId w:val="1"/>
  </w:num>
  <w:num w:numId="7" w16cid:durableId="1974747392">
    <w:abstractNumId w:val="3"/>
  </w:num>
  <w:num w:numId="8" w16cid:durableId="1342120387">
    <w:abstractNumId w:val="9"/>
  </w:num>
  <w:num w:numId="9" w16cid:durableId="350257001">
    <w:abstractNumId w:val="2"/>
  </w:num>
  <w:num w:numId="10" w16cid:durableId="1078140204">
    <w:abstractNumId w:val="6"/>
  </w:num>
  <w:num w:numId="11" w16cid:durableId="1792938771">
    <w:abstractNumId w:val="7"/>
  </w:num>
  <w:num w:numId="12" w16cid:durableId="1526560268">
    <w:abstractNumId w:val="11"/>
  </w:num>
  <w:num w:numId="13" w16cid:durableId="684139451">
    <w:abstractNumId w:val="12"/>
  </w:num>
  <w:num w:numId="14" w16cid:durableId="20664853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211E44"/>
    <w:rsid w:val="0023618C"/>
    <w:rsid w:val="0031580C"/>
    <w:rsid w:val="003650D0"/>
    <w:rsid w:val="003A7CEA"/>
    <w:rsid w:val="003E2241"/>
    <w:rsid w:val="004107CA"/>
    <w:rsid w:val="005422DF"/>
    <w:rsid w:val="005D08ED"/>
    <w:rsid w:val="005F7A75"/>
    <w:rsid w:val="00605B4C"/>
    <w:rsid w:val="00665846"/>
    <w:rsid w:val="006A249B"/>
    <w:rsid w:val="00701CC9"/>
    <w:rsid w:val="00707E60"/>
    <w:rsid w:val="00723620"/>
    <w:rsid w:val="00813F67"/>
    <w:rsid w:val="00844CC8"/>
    <w:rsid w:val="00845F02"/>
    <w:rsid w:val="00855468"/>
    <w:rsid w:val="009D1788"/>
    <w:rsid w:val="009D1F9E"/>
    <w:rsid w:val="00A27409"/>
    <w:rsid w:val="00A53B01"/>
    <w:rsid w:val="00A55C9A"/>
    <w:rsid w:val="00A60686"/>
    <w:rsid w:val="00A96461"/>
    <w:rsid w:val="00AA7DD4"/>
    <w:rsid w:val="00B9278F"/>
    <w:rsid w:val="00B9597A"/>
    <w:rsid w:val="00BC7035"/>
    <w:rsid w:val="00BE3801"/>
    <w:rsid w:val="00C04706"/>
    <w:rsid w:val="00C24423"/>
    <w:rsid w:val="00C4509C"/>
    <w:rsid w:val="00C942B0"/>
    <w:rsid w:val="00D37EF2"/>
    <w:rsid w:val="00DB14E5"/>
    <w:rsid w:val="00DD0016"/>
    <w:rsid w:val="00E20840"/>
    <w:rsid w:val="00E608BE"/>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499</Words>
  <Characters>2848</Characters>
  <Application>Microsoft Office Word</Application>
  <DocSecurity>0</DocSecurity>
  <Lines>23</Lines>
  <Paragraphs>6</Paragraphs>
  <ScaleCrop>false</ScaleCrop>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9</cp:revision>
  <dcterms:created xsi:type="dcterms:W3CDTF">2025-10-23T17:12:00Z</dcterms:created>
  <dcterms:modified xsi:type="dcterms:W3CDTF">2025-10-24T17:48:00Z</dcterms:modified>
</cp:coreProperties>
</file>