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2269FB8D"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5C3FCA">
        <w:rPr>
          <w:color w:val="000000" w:themeColor="text1"/>
          <w:sz w:val="44"/>
          <w:szCs w:val="44"/>
        </w:rPr>
        <w:t>Tarazá</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14863A04" w14:textId="77777777" w:rsidR="005C3FCA" w:rsidRPr="005C3FCA" w:rsidRDefault="005C3FCA" w:rsidP="005C3FCA">
      <w:pPr>
        <w:spacing w:line="360" w:lineRule="auto"/>
        <w:jc w:val="both"/>
        <w:rPr>
          <w:rFonts w:ascii="Aptos" w:hAnsi="Aptos" w:cs="Times New Roman"/>
        </w:rPr>
      </w:pPr>
      <w:r w:rsidRPr="005C3FCA">
        <w:rPr>
          <w:rFonts w:ascii="Aptos" w:hAnsi="Aptos" w:cs="Times New Roman"/>
        </w:rPr>
        <w:lastRenderedPageBreak/>
        <w:t>El estado actual de su normatividad tributaria se establece en el acuerdo: 3 de 2017.</w:t>
      </w:r>
    </w:p>
    <w:p w14:paraId="7C6C7960" w14:textId="77777777" w:rsidR="005C3FCA" w:rsidRPr="005C3FCA" w:rsidRDefault="005C3FCA" w:rsidP="005C3FCA">
      <w:pPr>
        <w:spacing w:line="360" w:lineRule="auto"/>
        <w:jc w:val="both"/>
        <w:rPr>
          <w:rFonts w:ascii="Aptos" w:hAnsi="Aptos" w:cs="Times New Roman"/>
          <w:b/>
          <w:bCs/>
          <w:sz w:val="32"/>
          <w:szCs w:val="32"/>
        </w:rPr>
      </w:pPr>
      <w:r w:rsidRPr="005C3FCA">
        <w:rPr>
          <w:rFonts w:ascii="Aptos" w:hAnsi="Aptos" w:cs="Times New Roman"/>
          <w:b/>
          <w:bCs/>
          <w:sz w:val="32"/>
          <w:szCs w:val="32"/>
        </w:rPr>
        <w:t>Hallazgos</w:t>
      </w:r>
    </w:p>
    <w:p w14:paraId="6879547B" w14:textId="77777777" w:rsidR="005C3FCA" w:rsidRPr="005C3FCA" w:rsidRDefault="005C3FCA" w:rsidP="005C3FCA">
      <w:pPr>
        <w:numPr>
          <w:ilvl w:val="0"/>
          <w:numId w:val="15"/>
        </w:numPr>
        <w:spacing w:line="360" w:lineRule="auto"/>
        <w:jc w:val="both"/>
        <w:rPr>
          <w:rFonts w:ascii="Aptos" w:hAnsi="Aptos" w:cs="Times New Roman"/>
        </w:rPr>
      </w:pPr>
      <w:r w:rsidRPr="005C3FCA">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1AACF39" w14:textId="77777777" w:rsidR="005C3FCA" w:rsidRPr="005C3FCA" w:rsidRDefault="005C3FCA" w:rsidP="005C3FCA">
      <w:pPr>
        <w:numPr>
          <w:ilvl w:val="0"/>
          <w:numId w:val="15"/>
        </w:numPr>
        <w:spacing w:line="360" w:lineRule="auto"/>
        <w:jc w:val="both"/>
        <w:rPr>
          <w:rFonts w:ascii="Aptos" w:hAnsi="Aptos" w:cs="Times New Roman"/>
        </w:rPr>
      </w:pPr>
      <w:r w:rsidRPr="005C3FCA">
        <w:rPr>
          <w:rFonts w:ascii="Aptos" w:hAnsi="Aptos" w:cs="Times New Roman"/>
        </w:rPr>
        <w:t>El IPU se desarrolla desde el artículo 12, se definen autorización legal y elementos del impuesto, y se clasifica predio urbano edificado como aquel con al menos 10 % de construcción del área del lote.</w:t>
      </w:r>
    </w:p>
    <w:p w14:paraId="60DC7DB2" w14:textId="77777777" w:rsidR="005C3FCA" w:rsidRPr="005C3FCA" w:rsidRDefault="005C3FCA" w:rsidP="005C3FCA">
      <w:pPr>
        <w:numPr>
          <w:ilvl w:val="0"/>
          <w:numId w:val="15"/>
        </w:numPr>
        <w:spacing w:line="360" w:lineRule="auto"/>
        <w:jc w:val="both"/>
        <w:rPr>
          <w:rFonts w:ascii="Aptos" w:hAnsi="Aptos" w:cs="Times New Roman"/>
        </w:rPr>
      </w:pPr>
      <w:r w:rsidRPr="005C3FCA">
        <w:rPr>
          <w:rFonts w:ascii="Aptos" w:hAnsi="Aptos" w:cs="Times New Roman"/>
        </w:rPr>
        <w:t>La matriz tarifaria para urbanos edificados varía entre 6‰ y 13‰; inmuebles industriales/comerciales/servicios se agrupan en categoría mixta con 13‰–25‰; UAF con 5‰ y predios no calificados como pequeña propiedad rural con 8‰; se acoge el límite del art. 6 de la Ley 44 de 1990.</w:t>
      </w:r>
    </w:p>
    <w:p w14:paraId="05CEF427" w14:textId="77777777" w:rsidR="005C3FCA" w:rsidRPr="005C3FCA" w:rsidRDefault="005C3FCA" w:rsidP="005C3FCA">
      <w:pPr>
        <w:numPr>
          <w:ilvl w:val="0"/>
          <w:numId w:val="15"/>
        </w:numPr>
        <w:spacing w:line="360" w:lineRule="auto"/>
        <w:jc w:val="both"/>
        <w:rPr>
          <w:rFonts w:ascii="Aptos" w:hAnsi="Aptos" w:cs="Times New Roman"/>
        </w:rPr>
      </w:pPr>
      <w:r w:rsidRPr="005C3FCA">
        <w:rPr>
          <w:rFonts w:ascii="Aptos" w:hAnsi="Aptos" w:cs="Times New Roman"/>
        </w:rPr>
        <w:t>Duplicidad de la matriz tarifaria en los artículos 16 y 23.</w:t>
      </w:r>
    </w:p>
    <w:p w14:paraId="6F793184" w14:textId="77777777" w:rsidR="005C3FCA" w:rsidRPr="005C3FCA" w:rsidRDefault="005C3FCA" w:rsidP="005C3FCA">
      <w:pPr>
        <w:numPr>
          <w:ilvl w:val="0"/>
          <w:numId w:val="15"/>
        </w:numPr>
        <w:spacing w:line="360" w:lineRule="auto"/>
        <w:jc w:val="both"/>
        <w:rPr>
          <w:rFonts w:ascii="Aptos" w:hAnsi="Aptos" w:cs="Times New Roman"/>
        </w:rPr>
      </w:pPr>
      <w:r w:rsidRPr="005C3FCA">
        <w:rPr>
          <w:rFonts w:ascii="Aptos" w:hAnsi="Aptos" w:cs="Times New Roman"/>
        </w:rPr>
        <w:t>Sobretasa ambiental de 1,5‰; pronto pago hasta 20 % en el primer trimestre; cobro trimestral.</w:t>
      </w:r>
    </w:p>
    <w:p w14:paraId="176D7B62" w14:textId="77777777" w:rsidR="005C3FCA" w:rsidRPr="005C3FCA" w:rsidRDefault="005C3FCA" w:rsidP="005C3FCA">
      <w:pPr>
        <w:numPr>
          <w:ilvl w:val="0"/>
          <w:numId w:val="15"/>
        </w:numPr>
        <w:spacing w:line="360" w:lineRule="auto"/>
        <w:jc w:val="both"/>
        <w:rPr>
          <w:rFonts w:ascii="Aptos" w:hAnsi="Aptos" w:cs="Times New Roman"/>
        </w:rPr>
      </w:pPr>
      <w:r w:rsidRPr="005C3FCA">
        <w:rPr>
          <w:rFonts w:ascii="Aptos" w:hAnsi="Aptos" w:cs="Times New Roman"/>
        </w:rPr>
        <w:t>Exenciones y tratamientos para iglesias, comunidades religiosas, conservación de aguas/fauna/flora, entidades sindicales, JAC, educación, seguridad y orden público.</w:t>
      </w:r>
    </w:p>
    <w:p w14:paraId="5E231DC4" w14:textId="77777777" w:rsidR="005C3FCA" w:rsidRPr="005C3FCA" w:rsidRDefault="005C3FCA" w:rsidP="005C3FCA">
      <w:pPr>
        <w:numPr>
          <w:ilvl w:val="0"/>
          <w:numId w:val="15"/>
        </w:numPr>
        <w:spacing w:line="360" w:lineRule="auto"/>
        <w:jc w:val="both"/>
        <w:rPr>
          <w:rFonts w:ascii="Aptos" w:hAnsi="Aptos" w:cs="Times New Roman"/>
        </w:rPr>
      </w:pPr>
      <w:r w:rsidRPr="005C3FCA">
        <w:rPr>
          <w:rFonts w:ascii="Aptos" w:hAnsi="Aptos" w:cs="Times New Roman"/>
        </w:rPr>
        <w:t>Sobretasa bomberil: el art. 169 presenta discrepancia entre texto (2 %) y cifra (1,5 %), con implicaciones para actividades de alto riesgo (estaciones de servicio, depósitos de inflamables).</w:t>
      </w:r>
    </w:p>
    <w:p w14:paraId="0439C6C4" w14:textId="77777777" w:rsidR="005C3FCA" w:rsidRPr="005C3FCA" w:rsidRDefault="005C3FCA" w:rsidP="005C3FCA">
      <w:pPr>
        <w:numPr>
          <w:ilvl w:val="0"/>
          <w:numId w:val="15"/>
        </w:numPr>
        <w:spacing w:line="360" w:lineRule="auto"/>
        <w:jc w:val="both"/>
        <w:rPr>
          <w:rFonts w:ascii="Aptos" w:hAnsi="Aptos" w:cs="Times New Roman"/>
        </w:rPr>
      </w:pPr>
      <w:r w:rsidRPr="005C3FCA">
        <w:rPr>
          <w:rFonts w:ascii="Aptos" w:hAnsi="Aptos" w:cs="Times New Roman"/>
        </w:rPr>
        <w:t>Alumbrado público: se menciona la posibilidad de gravar predios no usuarios de energía eléctrica, pero no se desarrolla el tributo en el acuerdo, impidiendo su aplicación.</w:t>
      </w:r>
    </w:p>
    <w:p w14:paraId="6BF9159F" w14:textId="60EA995B" w:rsidR="005C3FCA" w:rsidRPr="005C3FCA" w:rsidRDefault="005C3FCA" w:rsidP="005C3FCA">
      <w:pPr>
        <w:pStyle w:val="ListParagraph"/>
        <w:widowControl w:val="0"/>
        <w:numPr>
          <w:ilvl w:val="0"/>
          <w:numId w:val="15"/>
        </w:numPr>
        <w:spacing w:after="0" w:line="240" w:lineRule="auto"/>
        <w:contextualSpacing w:val="0"/>
        <w:jc w:val="both"/>
        <w:rPr>
          <w:rFonts w:ascii="Aptos" w:hAnsi="Aptos" w:cs="Times New Roman"/>
        </w:rPr>
      </w:pPr>
      <w:r w:rsidRPr="005C3FCA">
        <w:rPr>
          <w:rFonts w:ascii="Aptos" w:hAnsi="Aptos" w:cs="Times New Roman"/>
        </w:rPr>
        <w:t>Se encuentran exentos del IPU, Los inmuebles de propiedad de la Corporación Autónoma de Antioquia, destinados a la conservación de hoyas, laderas, escarpas, canales y conducción de aguas, embalses, colectores de alcantarillado y tanques.</w:t>
      </w:r>
    </w:p>
    <w:p w14:paraId="4DBF5A97" w14:textId="77777777" w:rsidR="005C3FCA" w:rsidRPr="005C3FCA" w:rsidRDefault="005C3FCA" w:rsidP="005C3FCA">
      <w:pPr>
        <w:spacing w:line="360" w:lineRule="auto"/>
        <w:jc w:val="both"/>
        <w:rPr>
          <w:rFonts w:ascii="Aptos" w:hAnsi="Aptos" w:cs="Times New Roman"/>
          <w:b/>
          <w:bCs/>
          <w:sz w:val="32"/>
          <w:szCs w:val="32"/>
        </w:rPr>
      </w:pPr>
      <w:r w:rsidRPr="005C3FCA">
        <w:rPr>
          <w:rFonts w:ascii="Aptos" w:hAnsi="Aptos" w:cs="Times New Roman"/>
          <w:b/>
          <w:bCs/>
          <w:sz w:val="32"/>
          <w:szCs w:val="32"/>
        </w:rPr>
        <w:lastRenderedPageBreak/>
        <w:t>Recomendaciones</w:t>
      </w:r>
    </w:p>
    <w:p w14:paraId="41032700" w14:textId="77777777" w:rsidR="005C3FCA" w:rsidRPr="005C3FCA" w:rsidRDefault="005C3FCA" w:rsidP="005C3FCA">
      <w:pPr>
        <w:numPr>
          <w:ilvl w:val="0"/>
          <w:numId w:val="16"/>
        </w:numPr>
        <w:spacing w:line="360" w:lineRule="auto"/>
        <w:jc w:val="both"/>
        <w:rPr>
          <w:rFonts w:ascii="Aptos" w:hAnsi="Aptos" w:cs="Times New Roman"/>
        </w:rPr>
      </w:pPr>
      <w:r w:rsidRPr="005C3FCA">
        <w:rPr>
          <w:rFonts w:ascii="Aptos" w:hAnsi="Aptos" w:cs="Times New Roman"/>
        </w:rPr>
        <w:t>Adelantar un proceso de actualización normativa que actualice la tabla de destinos conforme a la Resolución 2025060163216 y armonice con lineamientos catastrales recientes, garantizando tarifas para todos los destinos del LADM-COL v4.1.</w:t>
      </w:r>
    </w:p>
    <w:p w14:paraId="30FC042A" w14:textId="77777777" w:rsidR="005C3FCA" w:rsidRPr="005C3FCA" w:rsidRDefault="005C3FCA" w:rsidP="005C3FCA">
      <w:pPr>
        <w:numPr>
          <w:ilvl w:val="0"/>
          <w:numId w:val="16"/>
        </w:numPr>
        <w:spacing w:line="360" w:lineRule="auto"/>
        <w:jc w:val="both"/>
        <w:rPr>
          <w:rFonts w:ascii="Aptos" w:hAnsi="Aptos" w:cs="Times New Roman"/>
        </w:rPr>
      </w:pPr>
      <w:r w:rsidRPr="005C3FCA">
        <w:rPr>
          <w:rFonts w:ascii="Aptos" w:hAnsi="Aptos" w:cs="Times New Roman"/>
        </w:rPr>
        <w:t>Eliminar la duplicidad de la matriz tarifaria (arts. 16 y 23) para asegurar coherencia y evitar interpretaciones contradictorias.</w:t>
      </w:r>
    </w:p>
    <w:p w14:paraId="4F389EF1" w14:textId="77777777" w:rsidR="005C3FCA" w:rsidRPr="005C3FCA" w:rsidRDefault="005C3FCA" w:rsidP="005C3FCA">
      <w:pPr>
        <w:numPr>
          <w:ilvl w:val="0"/>
          <w:numId w:val="16"/>
        </w:numPr>
        <w:spacing w:line="360" w:lineRule="auto"/>
        <w:jc w:val="both"/>
        <w:rPr>
          <w:rFonts w:ascii="Aptos" w:hAnsi="Aptos" w:cs="Times New Roman"/>
        </w:rPr>
      </w:pPr>
      <w:r w:rsidRPr="005C3FCA">
        <w:rPr>
          <w:rFonts w:ascii="Aptos" w:hAnsi="Aptos" w:cs="Times New Roman"/>
        </w:rPr>
        <w:t>Corregir la imprecisión del art. 169 de la sobretasa bomberil, unificando el porcentaje aplicable y definiendo con claridad el tratamiento de actividades de alto riesgo, con sustento normativo.</w:t>
      </w:r>
    </w:p>
    <w:p w14:paraId="243A614D" w14:textId="77777777" w:rsidR="005C3FCA" w:rsidRDefault="005C3FCA" w:rsidP="005C3FCA">
      <w:pPr>
        <w:numPr>
          <w:ilvl w:val="0"/>
          <w:numId w:val="16"/>
        </w:numPr>
        <w:spacing w:line="360" w:lineRule="auto"/>
        <w:jc w:val="both"/>
        <w:rPr>
          <w:rFonts w:ascii="Aptos" w:hAnsi="Aptos" w:cs="Times New Roman"/>
        </w:rPr>
      </w:pPr>
      <w:r w:rsidRPr="005C3FCA">
        <w:rPr>
          <w:rFonts w:ascii="Aptos" w:hAnsi="Aptos" w:cs="Times New Roman"/>
        </w:rPr>
        <w:t>Desarrollar integralmente el impuesto de alumbrado público: definir hecho generador, sujetos, base gravable, tarifas y procedimiento, con reglas para predios no usuarios de energía, a fin de habilitar su aplicación legal y efectiva.</w:t>
      </w:r>
    </w:p>
    <w:p w14:paraId="597059D7" w14:textId="1FD0B19C" w:rsidR="00707E60" w:rsidRPr="005C3FCA" w:rsidRDefault="005C3FCA" w:rsidP="005C3FCA">
      <w:pPr>
        <w:numPr>
          <w:ilvl w:val="0"/>
          <w:numId w:val="16"/>
        </w:numPr>
        <w:spacing w:line="360" w:lineRule="auto"/>
        <w:jc w:val="both"/>
        <w:rPr>
          <w:rFonts w:ascii="Aptos" w:hAnsi="Aptos" w:cs="Times New Roman"/>
        </w:rPr>
      </w:pPr>
      <w:r w:rsidRPr="005C3FCA">
        <w:rPr>
          <w:rFonts w:ascii="Aptos" w:hAnsi="Aptos" w:cs="Times New Roman"/>
        </w:rPr>
        <w:t>Establecer límites máximos anuales y reglas de gradualidad para los incrementos del IPU derivados de actualizaciones y rezago catastral, complementando la remisión al artículo 6 de la Ley 44 de 1990 con los lineamientos de la Ley 1995 de 2019.</w:t>
      </w:r>
    </w:p>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E66BC" w14:textId="77777777" w:rsidR="00C3440A" w:rsidRDefault="00C3440A" w:rsidP="00707E60">
      <w:pPr>
        <w:spacing w:after="0" w:line="240" w:lineRule="auto"/>
      </w:pPr>
      <w:r>
        <w:separator/>
      </w:r>
    </w:p>
  </w:endnote>
  <w:endnote w:type="continuationSeparator" w:id="0">
    <w:p w14:paraId="26687696" w14:textId="77777777" w:rsidR="00C3440A" w:rsidRDefault="00C3440A"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F986D" w14:textId="77777777" w:rsidR="00C3440A" w:rsidRDefault="00C3440A" w:rsidP="00707E60">
      <w:pPr>
        <w:spacing w:after="0" w:line="240" w:lineRule="auto"/>
      </w:pPr>
      <w:r>
        <w:separator/>
      </w:r>
    </w:p>
  </w:footnote>
  <w:footnote w:type="continuationSeparator" w:id="0">
    <w:p w14:paraId="0A510AB9" w14:textId="77777777" w:rsidR="00C3440A" w:rsidRDefault="00C3440A"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0D8D5251"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5C3FCA">
                            <w:rPr>
                              <w:color w:val="000000" w:themeColor="text1"/>
                              <w:sz w:val="28"/>
                              <w:szCs w:val="28"/>
                            </w:rPr>
                            <w:t>Tarazá</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0D8D5251"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5C3FCA">
                      <w:rPr>
                        <w:color w:val="000000" w:themeColor="text1"/>
                        <w:sz w:val="28"/>
                        <w:szCs w:val="28"/>
                      </w:rPr>
                      <w:t>Tarazá</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5"/>
  </w:num>
  <w:num w:numId="2" w16cid:durableId="1017347282">
    <w:abstractNumId w:val="9"/>
  </w:num>
  <w:num w:numId="3" w16cid:durableId="44450645">
    <w:abstractNumId w:val="12"/>
  </w:num>
  <w:num w:numId="4" w16cid:durableId="1953855267">
    <w:abstractNumId w:val="0"/>
  </w:num>
  <w:num w:numId="5" w16cid:durableId="279457733">
    <w:abstractNumId w:val="6"/>
  </w:num>
  <w:num w:numId="6" w16cid:durableId="829055416">
    <w:abstractNumId w:val="1"/>
  </w:num>
  <w:num w:numId="7" w16cid:durableId="1974747392">
    <w:abstractNumId w:val="4"/>
  </w:num>
  <w:num w:numId="8" w16cid:durableId="1342120387">
    <w:abstractNumId w:val="11"/>
  </w:num>
  <w:num w:numId="9" w16cid:durableId="350257001">
    <w:abstractNumId w:val="3"/>
  </w:num>
  <w:num w:numId="10" w16cid:durableId="1078140204">
    <w:abstractNumId w:val="7"/>
  </w:num>
  <w:num w:numId="11" w16cid:durableId="1792938771">
    <w:abstractNumId w:val="8"/>
  </w:num>
  <w:num w:numId="12" w16cid:durableId="1526560268">
    <w:abstractNumId w:val="13"/>
  </w:num>
  <w:num w:numId="13" w16cid:durableId="684139451">
    <w:abstractNumId w:val="14"/>
  </w:num>
  <w:num w:numId="14" w16cid:durableId="2066485375">
    <w:abstractNumId w:val="15"/>
  </w:num>
  <w:num w:numId="15" w16cid:durableId="1048799774">
    <w:abstractNumId w:val="2"/>
  </w:num>
  <w:num w:numId="16" w16cid:durableId="7637651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4107CA"/>
    <w:rsid w:val="005422DF"/>
    <w:rsid w:val="005C3FCA"/>
    <w:rsid w:val="005D08ED"/>
    <w:rsid w:val="005F7A75"/>
    <w:rsid w:val="00605B4C"/>
    <w:rsid w:val="00665846"/>
    <w:rsid w:val="006A249B"/>
    <w:rsid w:val="00701CC9"/>
    <w:rsid w:val="00707E60"/>
    <w:rsid w:val="00723620"/>
    <w:rsid w:val="00813F67"/>
    <w:rsid w:val="00844CC8"/>
    <w:rsid w:val="00845F02"/>
    <w:rsid w:val="00855468"/>
    <w:rsid w:val="009D1788"/>
    <w:rsid w:val="009D1F9E"/>
    <w:rsid w:val="00A27409"/>
    <w:rsid w:val="00A53B01"/>
    <w:rsid w:val="00A55C9A"/>
    <w:rsid w:val="00A60686"/>
    <w:rsid w:val="00A96461"/>
    <w:rsid w:val="00AA7DD4"/>
    <w:rsid w:val="00B9278F"/>
    <w:rsid w:val="00B9597A"/>
    <w:rsid w:val="00BC7035"/>
    <w:rsid w:val="00BE3801"/>
    <w:rsid w:val="00C04706"/>
    <w:rsid w:val="00C24423"/>
    <w:rsid w:val="00C3440A"/>
    <w:rsid w:val="00C4509C"/>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10</cp:revision>
  <dcterms:created xsi:type="dcterms:W3CDTF">2025-10-23T17:12:00Z</dcterms:created>
  <dcterms:modified xsi:type="dcterms:W3CDTF">2025-10-24T17:50:00Z</dcterms:modified>
</cp:coreProperties>
</file>