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24C321DE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2F1B4B3D" w14:textId="77777777" w:rsidR="0084474E" w:rsidRDefault="0084474E" w:rsidP="0084474E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1594669D" w14:textId="24781DC8" w:rsidR="00707E60" w:rsidRPr="00707E60" w:rsidRDefault="00707E60" w:rsidP="0084474E">
      <w:pPr>
        <w:pStyle w:val="NoSpacing"/>
        <w:rPr>
          <w:b/>
          <w:bCs/>
          <w:color w:val="000000" w:themeColor="text1"/>
          <w:sz w:val="56"/>
          <w:szCs w:val="56"/>
        </w:rPr>
      </w:pP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313FB865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B037CD">
        <w:rPr>
          <w:color w:val="000000" w:themeColor="text1"/>
          <w:sz w:val="44"/>
          <w:szCs w:val="44"/>
        </w:rPr>
        <w:t>Titiribí</w:t>
      </w:r>
      <w:r w:rsidRPr="00707E60">
        <w:rPr>
          <w:color w:val="000000" w:themeColor="text1"/>
          <w:sz w:val="44"/>
          <w:szCs w:val="44"/>
        </w:rPr>
        <w:t xml:space="preserve"> 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21161A36" w14:textId="77777777" w:rsidR="002038BA" w:rsidRPr="002038BA" w:rsidRDefault="002038BA" w:rsidP="002038BA">
      <w:pPr>
        <w:spacing w:line="360" w:lineRule="auto"/>
        <w:rPr>
          <w:rFonts w:ascii="Aptos" w:hAnsi="Aptos" w:cs="Times New Roman"/>
        </w:rPr>
      </w:pPr>
      <w:r w:rsidRPr="002038BA">
        <w:rPr>
          <w:rFonts w:ascii="Aptos" w:hAnsi="Aptos" w:cs="Times New Roman"/>
        </w:rPr>
        <w:lastRenderedPageBreak/>
        <w:t>El estado actual de su normatividad tributaria se establece en el Acuerdo 020 de 2019, modificado por el Acuerdo 027 de 2021.</w:t>
      </w:r>
    </w:p>
    <w:p w14:paraId="67F84F26" w14:textId="77777777" w:rsidR="002038BA" w:rsidRPr="002038BA" w:rsidRDefault="002038BA" w:rsidP="002038BA">
      <w:pPr>
        <w:spacing w:line="360" w:lineRule="auto"/>
        <w:jc w:val="both"/>
        <w:rPr>
          <w:rFonts w:ascii="Aptos" w:hAnsi="Aptos" w:cs="Times New Roman"/>
          <w:b/>
          <w:bCs/>
          <w:sz w:val="32"/>
          <w:szCs w:val="32"/>
        </w:rPr>
      </w:pPr>
      <w:r w:rsidRPr="002038BA">
        <w:rPr>
          <w:rFonts w:ascii="Aptos" w:hAnsi="Aptos" w:cs="Times New Roman"/>
          <w:b/>
          <w:bCs/>
          <w:sz w:val="32"/>
          <w:szCs w:val="32"/>
        </w:rPr>
        <w:t>Hallazgos</w:t>
      </w:r>
    </w:p>
    <w:p w14:paraId="3C015439" w14:textId="77777777" w:rsidR="002038BA" w:rsidRPr="002038BA" w:rsidRDefault="002038BA" w:rsidP="002038BA">
      <w:pPr>
        <w:numPr>
          <w:ilvl w:val="0"/>
          <w:numId w:val="3"/>
        </w:numPr>
        <w:spacing w:line="360" w:lineRule="auto"/>
        <w:jc w:val="both"/>
        <w:rPr>
          <w:rFonts w:ascii="Aptos" w:hAnsi="Aptos" w:cs="Times New Roman"/>
        </w:rPr>
      </w:pPr>
      <w:r w:rsidRPr="002038BA">
        <w:rPr>
          <w:rFonts w:ascii="Aptos" w:hAnsi="Aptos" w:cs="Times New Roman"/>
        </w:rPr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1A08EC5F" w14:textId="77777777" w:rsidR="002038BA" w:rsidRPr="002038BA" w:rsidRDefault="002038BA" w:rsidP="002038BA">
      <w:pPr>
        <w:numPr>
          <w:ilvl w:val="0"/>
          <w:numId w:val="3"/>
        </w:numPr>
        <w:spacing w:line="360" w:lineRule="auto"/>
        <w:jc w:val="both"/>
        <w:rPr>
          <w:rFonts w:ascii="Aptos" w:hAnsi="Aptos" w:cs="Times New Roman"/>
        </w:rPr>
      </w:pPr>
      <w:r w:rsidRPr="002038BA">
        <w:rPr>
          <w:rFonts w:ascii="Aptos" w:hAnsi="Aptos" w:cs="Times New Roman"/>
        </w:rPr>
        <w:t xml:space="preserve">La matriz tarifaria vigente fija milajes por destinación y, en varios casos, por rangos de avalúo; contempla tarifas de 5‰ a 16‰ y autoriza inferiores a 5‰ “en los casos del art. 23 de la Ley 1450 de 2011”. </w:t>
      </w:r>
    </w:p>
    <w:p w14:paraId="6360ADEF" w14:textId="77777777" w:rsidR="002038BA" w:rsidRPr="002038BA" w:rsidRDefault="002038BA" w:rsidP="002038BA">
      <w:pPr>
        <w:numPr>
          <w:ilvl w:val="0"/>
          <w:numId w:val="3"/>
        </w:numPr>
        <w:spacing w:line="360" w:lineRule="auto"/>
        <w:jc w:val="both"/>
        <w:rPr>
          <w:rFonts w:ascii="Aptos" w:hAnsi="Aptos" w:cs="Times New Roman"/>
        </w:rPr>
      </w:pPr>
      <w:r w:rsidRPr="002038BA">
        <w:rPr>
          <w:rFonts w:ascii="Aptos" w:hAnsi="Aptos" w:cs="Times New Roman"/>
        </w:rPr>
        <w:t xml:space="preserve">Reglas de incremento: (i) por actualización catastral se fija un tope IPC+8 pp para actualizados y 50 % para no actualizados, con vigencia hasta 31-dic-2025; (ii) por modificación de tarifas se fija un tope del 25 % del impuesto del año anterior. </w:t>
      </w:r>
    </w:p>
    <w:p w14:paraId="0EFD9739" w14:textId="77777777" w:rsidR="002038BA" w:rsidRPr="002038BA" w:rsidRDefault="002038BA" w:rsidP="002038BA">
      <w:pPr>
        <w:numPr>
          <w:ilvl w:val="0"/>
          <w:numId w:val="3"/>
        </w:numPr>
        <w:spacing w:line="360" w:lineRule="auto"/>
        <w:jc w:val="both"/>
        <w:rPr>
          <w:rFonts w:ascii="Aptos" w:hAnsi="Aptos" w:cs="Times New Roman"/>
        </w:rPr>
      </w:pPr>
      <w:r w:rsidRPr="002038BA">
        <w:rPr>
          <w:rFonts w:ascii="Aptos" w:hAnsi="Aptos" w:cs="Times New Roman"/>
        </w:rPr>
        <w:t>Se desarrolla la determinación oficial del impuesto vía factura, el acto, su publicación (web + cartelera) y la liquidación. Falta, en el propio estatuto, un contenido mínimo de la factura (identificación predial, base, tarifa, fundamentos, recursos, fecha de vencimiento) esto puede debilitar la ejecutividad.</w:t>
      </w:r>
    </w:p>
    <w:p w14:paraId="319F20AD" w14:textId="77777777" w:rsidR="002038BA" w:rsidRPr="002038BA" w:rsidRDefault="002038BA" w:rsidP="002038BA">
      <w:pPr>
        <w:numPr>
          <w:ilvl w:val="0"/>
          <w:numId w:val="3"/>
        </w:numPr>
        <w:spacing w:line="360" w:lineRule="auto"/>
        <w:jc w:val="both"/>
        <w:rPr>
          <w:rFonts w:ascii="Aptos" w:hAnsi="Aptos" w:cs="Times New Roman"/>
        </w:rPr>
      </w:pPr>
      <w:r w:rsidRPr="002038BA">
        <w:rPr>
          <w:rFonts w:ascii="Aptos" w:hAnsi="Aptos" w:cs="Times New Roman"/>
        </w:rPr>
        <w:t>Se encuentran exclusiones  como bienes de uso público, bienes del municipio, inmuebles destinados al culto (Iglesia Católica y otras iglesias) y de especial interés “predios definidos legalmente como parques naturales o parques públicos” de propiedad estatal. La norma mezcla categorías de “prohibido gravamen” (fuera del hecho imponible) con exclusiones/beneficios, lo que puede producir duplicidades y ambigüedad en control y pérdida del tratamiento.</w:t>
      </w:r>
    </w:p>
    <w:p w14:paraId="40B564D0" w14:textId="77777777" w:rsidR="002038BA" w:rsidRPr="002038BA" w:rsidRDefault="002038BA" w:rsidP="002038BA">
      <w:pPr>
        <w:numPr>
          <w:ilvl w:val="0"/>
          <w:numId w:val="3"/>
        </w:numPr>
        <w:spacing w:line="360" w:lineRule="auto"/>
        <w:jc w:val="both"/>
        <w:rPr>
          <w:rFonts w:ascii="Aptos" w:hAnsi="Aptos" w:cs="Times New Roman"/>
        </w:rPr>
      </w:pPr>
      <w:r w:rsidRPr="002038BA">
        <w:rPr>
          <w:rFonts w:ascii="Aptos" w:hAnsi="Aptos" w:cs="Times New Roman"/>
        </w:rPr>
        <w:t>Impuesto de compensación por obras públicas de generación eléctrica, acueductos y riegos. Se remite a Ley 56 de 1981 y D. 2024 de 1982.</w:t>
      </w:r>
    </w:p>
    <w:p w14:paraId="09E962D9" w14:textId="77777777" w:rsidR="002038BA" w:rsidRPr="002038BA" w:rsidRDefault="002038BA" w:rsidP="002038BA">
      <w:pPr>
        <w:numPr>
          <w:ilvl w:val="0"/>
          <w:numId w:val="3"/>
        </w:numPr>
        <w:spacing w:line="360" w:lineRule="auto"/>
        <w:jc w:val="both"/>
        <w:rPr>
          <w:rFonts w:ascii="Aptos" w:hAnsi="Aptos" w:cs="Times New Roman"/>
        </w:rPr>
      </w:pPr>
      <w:r w:rsidRPr="002038BA">
        <w:rPr>
          <w:rFonts w:ascii="Aptos" w:hAnsi="Aptos" w:cs="Times New Roman"/>
        </w:rPr>
        <w:t>Sobretasa ambiental del 1,5‰ sobre el mismo avalúo base del IPU.</w:t>
      </w:r>
    </w:p>
    <w:p w14:paraId="5981C5CB" w14:textId="77777777" w:rsidR="002038BA" w:rsidRPr="002038BA" w:rsidRDefault="002038BA" w:rsidP="002038BA">
      <w:pPr>
        <w:numPr>
          <w:ilvl w:val="0"/>
          <w:numId w:val="3"/>
        </w:numPr>
        <w:spacing w:line="360" w:lineRule="auto"/>
        <w:jc w:val="both"/>
        <w:rPr>
          <w:rFonts w:ascii="Aptos" w:hAnsi="Aptos" w:cs="Times New Roman"/>
        </w:rPr>
      </w:pPr>
      <w:r w:rsidRPr="002038BA">
        <w:rPr>
          <w:rFonts w:ascii="Aptos" w:hAnsi="Aptos" w:cs="Times New Roman"/>
        </w:rPr>
        <w:t>Pago en cuotas: el estatuto prevé pago total o trimestral y un “calendario” por resolución anual.</w:t>
      </w:r>
    </w:p>
    <w:p w14:paraId="628DE7F7" w14:textId="77777777" w:rsidR="002038BA" w:rsidRPr="002038BA" w:rsidRDefault="002038BA" w:rsidP="002038BA">
      <w:pPr>
        <w:numPr>
          <w:ilvl w:val="0"/>
          <w:numId w:val="3"/>
        </w:numPr>
        <w:spacing w:line="360" w:lineRule="auto"/>
        <w:jc w:val="both"/>
        <w:rPr>
          <w:rFonts w:ascii="Aptos" w:hAnsi="Aptos" w:cs="Times New Roman"/>
        </w:rPr>
      </w:pPr>
      <w:r w:rsidRPr="002038BA">
        <w:rPr>
          <w:rFonts w:ascii="Aptos" w:hAnsi="Aptos" w:cs="Times New Roman"/>
        </w:rPr>
        <w:lastRenderedPageBreak/>
        <w:t>Beneficios, exenciones y prohibiciones con enfoque ambiental o de uso del suelo</w:t>
      </w:r>
      <w:r w:rsidRPr="002038BA">
        <w:rPr>
          <w:rFonts w:ascii="Aptos" w:hAnsi="Aptos" w:cs="Times New Roman"/>
          <w:b/>
          <w:bCs/>
        </w:rPr>
        <w:t>,</w:t>
      </w:r>
      <w:r w:rsidRPr="002038BA">
        <w:rPr>
          <w:rFonts w:ascii="Aptos" w:hAnsi="Aptos" w:cs="Times New Roman"/>
        </w:rPr>
        <w:t xml:space="preserve"> se excluyen parques naturales</w:t>
      </w:r>
    </w:p>
    <w:p w14:paraId="7908EC28" w14:textId="77777777" w:rsidR="002038BA" w:rsidRPr="002038BA" w:rsidRDefault="002038BA" w:rsidP="002038BA">
      <w:pPr>
        <w:spacing w:line="360" w:lineRule="auto"/>
        <w:jc w:val="both"/>
        <w:rPr>
          <w:rFonts w:ascii="Aptos" w:hAnsi="Aptos" w:cs="Times New Roman"/>
          <w:b/>
          <w:bCs/>
          <w:sz w:val="32"/>
          <w:szCs w:val="32"/>
        </w:rPr>
      </w:pPr>
      <w:r w:rsidRPr="002038BA">
        <w:rPr>
          <w:rFonts w:ascii="Aptos" w:hAnsi="Aptos" w:cs="Times New Roman"/>
          <w:b/>
          <w:bCs/>
          <w:sz w:val="32"/>
          <w:szCs w:val="32"/>
        </w:rPr>
        <w:t>Recomendaciones</w:t>
      </w:r>
    </w:p>
    <w:p w14:paraId="6658BD47" w14:textId="77777777" w:rsidR="002038BA" w:rsidRPr="002038BA" w:rsidRDefault="002038BA" w:rsidP="002038BA">
      <w:pPr>
        <w:numPr>
          <w:ilvl w:val="0"/>
          <w:numId w:val="4"/>
        </w:numPr>
        <w:spacing w:line="360" w:lineRule="auto"/>
        <w:jc w:val="both"/>
        <w:rPr>
          <w:rFonts w:ascii="Aptos" w:hAnsi="Aptos" w:cs="Times New Roman"/>
        </w:rPr>
      </w:pPr>
      <w:r w:rsidRPr="002038BA">
        <w:rPr>
          <w:rFonts w:ascii="Aptos" w:hAnsi="Aptos" w:cs="Times New Roman"/>
        </w:rPr>
        <w:t>Actualizar la tabla de destinos económicos conforme a la Resolución 2025060163216. Esto garantizará que todos los destinos contemplados en el modelo LADM-COL versión 4.1 cuenten con una tarifa definida, evitando la pérdida de ingresos fiscales.</w:t>
      </w:r>
    </w:p>
    <w:p w14:paraId="75624BA5" w14:textId="77777777" w:rsidR="002038BA" w:rsidRPr="002038BA" w:rsidRDefault="002038BA" w:rsidP="002038BA">
      <w:pPr>
        <w:numPr>
          <w:ilvl w:val="0"/>
          <w:numId w:val="4"/>
        </w:numPr>
        <w:spacing w:line="360" w:lineRule="auto"/>
        <w:jc w:val="both"/>
        <w:rPr>
          <w:rFonts w:ascii="Aptos" w:hAnsi="Aptos" w:cs="Times New Roman"/>
        </w:rPr>
      </w:pPr>
      <w:r w:rsidRPr="002038BA">
        <w:rPr>
          <w:rFonts w:ascii="Aptos" w:hAnsi="Aptos" w:cs="Times New Roman"/>
        </w:rPr>
        <w:t>Fortalecer la determinación por factura: incorporar en el estatuto el contenido mínimo del acto (predio, base, tarifa, liquidación, fundamentos, recursos, vencimientos), el protocolo de publicación (web/cartelera).</w:t>
      </w:r>
    </w:p>
    <w:p w14:paraId="56FCE6A3" w14:textId="77777777" w:rsidR="002038BA" w:rsidRPr="002038BA" w:rsidRDefault="002038BA" w:rsidP="002038BA">
      <w:pPr>
        <w:numPr>
          <w:ilvl w:val="0"/>
          <w:numId w:val="4"/>
        </w:numPr>
        <w:spacing w:line="360" w:lineRule="auto"/>
        <w:jc w:val="both"/>
        <w:rPr>
          <w:rFonts w:ascii="Aptos" w:hAnsi="Aptos" w:cs="Times New Roman"/>
        </w:rPr>
      </w:pPr>
      <w:r w:rsidRPr="002038BA">
        <w:rPr>
          <w:rFonts w:ascii="Aptos" w:hAnsi="Aptos" w:cs="Times New Roman"/>
        </w:rPr>
        <w:t>Diferenciar prohibido gravamen vs. exenciones para evitar multiplicidad de regulación y confusiones en los beneficios</w:t>
      </w:r>
    </w:p>
    <w:p w14:paraId="3F28D20F" w14:textId="77777777" w:rsidR="002038BA" w:rsidRPr="002038BA" w:rsidRDefault="002038BA" w:rsidP="002038BA">
      <w:pPr>
        <w:numPr>
          <w:ilvl w:val="0"/>
          <w:numId w:val="4"/>
        </w:numPr>
        <w:spacing w:line="360" w:lineRule="auto"/>
        <w:jc w:val="both"/>
        <w:rPr>
          <w:rFonts w:ascii="Aptos" w:hAnsi="Aptos" w:cs="Times New Roman"/>
        </w:rPr>
      </w:pPr>
      <w:r w:rsidRPr="002038BA">
        <w:rPr>
          <w:rFonts w:ascii="Aptos" w:hAnsi="Aptos" w:cs="Times New Roman"/>
        </w:rPr>
        <w:t>Precisar la metodología de compensación por obras públicas.</w:t>
      </w:r>
    </w:p>
    <w:p w14:paraId="1C0F50EF" w14:textId="7678A4E8" w:rsidR="002038BA" w:rsidRPr="006035B8" w:rsidRDefault="002038BA" w:rsidP="002038BA">
      <w:pPr>
        <w:numPr>
          <w:ilvl w:val="0"/>
          <w:numId w:val="4"/>
        </w:numPr>
        <w:spacing w:line="360" w:lineRule="auto"/>
        <w:jc w:val="both"/>
      </w:pPr>
      <w:r w:rsidRPr="002038BA">
        <w:rPr>
          <w:rFonts w:ascii="Aptos" w:hAnsi="Aptos" w:cs="Times New Roman"/>
        </w:rPr>
        <w:t>Incorporar límites y un esquema de transición/gradualidad para procesos de actualización y rezago catastral y de igual manera aplicar estas limitantes a las sobretasas atadas al IPU o al avaluó catastral</w:t>
      </w:r>
      <w:r w:rsidRPr="002F71DC">
        <w:rPr>
          <w:rFonts w:ascii="Times New Roman" w:hAnsi="Times New Roman" w:cs="Times New Roman"/>
        </w:rPr>
        <w:t>.</w:t>
      </w:r>
      <w:r w:rsidRPr="00296F1B">
        <w:rPr>
          <w:rFonts w:ascii="Times New Roman" w:eastAsia="Times New Roman" w:hAnsi="Times New Roman" w:cs="Times New Roman"/>
          <w:lang w:eastAsia="es-MX"/>
        </w:rPr>
        <w:t xml:space="preserve"> </w:t>
      </w:r>
    </w:p>
    <w:p w14:paraId="597059D7" w14:textId="77777777" w:rsidR="00707E60" w:rsidRDefault="00707E60"/>
    <w:p w14:paraId="412E737A" w14:textId="77777777" w:rsidR="00707E60" w:rsidRDefault="00707E60"/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60881" w14:textId="77777777" w:rsidR="005C20CA" w:rsidRDefault="005C20CA" w:rsidP="00707E60">
      <w:pPr>
        <w:spacing w:after="0" w:line="240" w:lineRule="auto"/>
      </w:pPr>
      <w:r>
        <w:separator/>
      </w:r>
    </w:p>
  </w:endnote>
  <w:endnote w:type="continuationSeparator" w:id="0">
    <w:p w14:paraId="214B34D5" w14:textId="77777777" w:rsidR="005C20CA" w:rsidRDefault="005C20CA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85A56" w14:textId="77777777" w:rsidR="005C20CA" w:rsidRDefault="005C20CA" w:rsidP="00707E60">
      <w:pPr>
        <w:spacing w:after="0" w:line="240" w:lineRule="auto"/>
      </w:pPr>
      <w:r>
        <w:separator/>
      </w:r>
    </w:p>
  </w:footnote>
  <w:footnote w:type="continuationSeparator" w:id="0">
    <w:p w14:paraId="429938A8" w14:textId="77777777" w:rsidR="005C20CA" w:rsidRDefault="005C20CA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EFA097" w14:textId="77777777" w:rsidR="00AA16EF" w:rsidRPr="00327CFA" w:rsidRDefault="00AA16EF" w:rsidP="00AA16EF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42AFFC97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Municipio </w:t>
                          </w:r>
                          <w:r w:rsidR="00FA20FB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Titiribí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23EFA097" w14:textId="77777777" w:rsidR="00AA16EF" w:rsidRPr="00327CFA" w:rsidRDefault="00AA16EF" w:rsidP="00AA16EF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42AFFC97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Municipio </w:t>
                    </w:r>
                    <w:r w:rsidR="00FA20FB">
                      <w:rPr>
                        <w:color w:val="000000" w:themeColor="text1"/>
                        <w:sz w:val="28"/>
                        <w:szCs w:val="28"/>
                      </w:rPr>
                      <w:t>Titiribí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D2812"/>
    <w:multiLevelType w:val="multilevel"/>
    <w:tmpl w:val="DEE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48177E"/>
    <w:multiLevelType w:val="multilevel"/>
    <w:tmpl w:val="E5B2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1"/>
  </w:num>
  <w:num w:numId="2" w16cid:durableId="1017347282">
    <w:abstractNumId w:val="2"/>
  </w:num>
  <w:num w:numId="3" w16cid:durableId="139880706">
    <w:abstractNumId w:val="3"/>
  </w:num>
  <w:num w:numId="4" w16cid:durableId="1002395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84B98"/>
    <w:rsid w:val="00120797"/>
    <w:rsid w:val="00134527"/>
    <w:rsid w:val="002038BA"/>
    <w:rsid w:val="00211E44"/>
    <w:rsid w:val="0023618C"/>
    <w:rsid w:val="003650D0"/>
    <w:rsid w:val="003A7CEA"/>
    <w:rsid w:val="003E2241"/>
    <w:rsid w:val="004107CA"/>
    <w:rsid w:val="005422DF"/>
    <w:rsid w:val="005C20CA"/>
    <w:rsid w:val="005F7A75"/>
    <w:rsid w:val="00605B4C"/>
    <w:rsid w:val="00665846"/>
    <w:rsid w:val="006A249B"/>
    <w:rsid w:val="00707E60"/>
    <w:rsid w:val="00813F67"/>
    <w:rsid w:val="0084474E"/>
    <w:rsid w:val="00844CC8"/>
    <w:rsid w:val="00845F02"/>
    <w:rsid w:val="009714F4"/>
    <w:rsid w:val="009D1F9E"/>
    <w:rsid w:val="00A27409"/>
    <w:rsid w:val="00A456B7"/>
    <w:rsid w:val="00A55C9A"/>
    <w:rsid w:val="00A60686"/>
    <w:rsid w:val="00A96461"/>
    <w:rsid w:val="00AA16EF"/>
    <w:rsid w:val="00B037CD"/>
    <w:rsid w:val="00BE54CF"/>
    <w:rsid w:val="00C04706"/>
    <w:rsid w:val="00C942B0"/>
    <w:rsid w:val="00D37EF2"/>
    <w:rsid w:val="00DB14E5"/>
    <w:rsid w:val="00E20840"/>
    <w:rsid w:val="00E608BE"/>
    <w:rsid w:val="00F27231"/>
    <w:rsid w:val="00F65205"/>
    <w:rsid w:val="00FA20FB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707E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E6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7</cp:revision>
  <dcterms:created xsi:type="dcterms:W3CDTF">2025-10-23T17:12:00Z</dcterms:created>
  <dcterms:modified xsi:type="dcterms:W3CDTF">2025-11-04T16:23:00Z</dcterms:modified>
</cp:coreProperties>
</file>