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745CA982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4E972D6" w14:textId="77777777" w:rsidR="00DD0016" w:rsidRDefault="00DD0016" w:rsidP="00DD0016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FE843B9" w14:textId="7551DBAB" w:rsidR="00707E60" w:rsidRPr="00707E60" w:rsidRDefault="00707E60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Municipio: </w:t>
      </w:r>
      <w:r w:rsidR="00B05C5D">
        <w:rPr>
          <w:color w:val="000000" w:themeColor="text1"/>
          <w:sz w:val="44"/>
          <w:szCs w:val="44"/>
        </w:rPr>
        <w:t>Toledo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5C9DCB25" w14:textId="77777777" w:rsidR="00707E60" w:rsidRDefault="00707E60"/>
    <w:p w14:paraId="0C05D9C4" w14:textId="77777777" w:rsidR="000A749B" w:rsidRPr="000A749B" w:rsidRDefault="000A749B" w:rsidP="000A749B">
      <w:pPr>
        <w:spacing w:line="360" w:lineRule="auto"/>
        <w:ind w:left="360"/>
        <w:rPr>
          <w:rFonts w:ascii="Aptos" w:hAnsi="Aptos" w:cs="Times New Roman"/>
        </w:rPr>
      </w:pPr>
      <w:r w:rsidRPr="000A749B">
        <w:rPr>
          <w:rFonts w:ascii="Aptos" w:hAnsi="Aptos" w:cs="Times New Roman"/>
        </w:rPr>
        <w:lastRenderedPageBreak/>
        <w:t>El estado actual de su normatividad tributaria se establece en el Acuerdo 08 de 2022.</w:t>
      </w:r>
    </w:p>
    <w:p w14:paraId="2B59DF6B" w14:textId="77777777" w:rsidR="000A749B" w:rsidRDefault="000A749B" w:rsidP="000A749B">
      <w:pPr>
        <w:spacing w:line="360" w:lineRule="auto"/>
        <w:rPr>
          <w:rFonts w:ascii="Aptos" w:hAnsi="Aptos" w:cs="Times New Roman"/>
          <w:b/>
          <w:bCs/>
          <w:sz w:val="32"/>
          <w:szCs w:val="32"/>
        </w:rPr>
      </w:pPr>
      <w:r w:rsidRPr="000A749B">
        <w:rPr>
          <w:rFonts w:ascii="Aptos" w:hAnsi="Aptos" w:cs="Times New Roman"/>
          <w:b/>
          <w:bCs/>
          <w:sz w:val="32"/>
          <w:szCs w:val="32"/>
        </w:rPr>
        <w:t>Hallazgos</w:t>
      </w:r>
    </w:p>
    <w:p w14:paraId="577FEFC5" w14:textId="163FD5D1" w:rsidR="000A749B" w:rsidRPr="000A749B" w:rsidRDefault="000A749B" w:rsidP="000A749B">
      <w:pPr>
        <w:pStyle w:val="ListParagraph"/>
        <w:numPr>
          <w:ilvl w:val="0"/>
          <w:numId w:val="17"/>
        </w:numPr>
        <w:spacing w:line="360" w:lineRule="auto"/>
        <w:rPr>
          <w:rFonts w:ascii="Aptos" w:hAnsi="Aptos" w:cs="Times New Roman"/>
        </w:rPr>
      </w:pPr>
      <w:r w:rsidRPr="000A749B">
        <w:rPr>
          <w:rFonts w:ascii="Aptos" w:hAnsi="Aptos" w:cs="Times New Roman"/>
        </w:rPr>
        <w:t>La tabla de destinos económicos no contempla las modificaciones introducidas por la Resolución 2025060163216 del 14 de marzo de 2025, que redefine los destinos en Antioquia conforme al modelo LADM-COL v4.1. Omitir estos destinos deja sin tarifa a nuevas categorías y expone al Municipio a pérdidas por falta de un elemento esencial del tributo.</w:t>
      </w:r>
    </w:p>
    <w:p w14:paraId="621E41EA" w14:textId="24DDDC77" w:rsidR="000A749B" w:rsidRPr="000A749B" w:rsidRDefault="000A749B" w:rsidP="000A749B">
      <w:pPr>
        <w:pStyle w:val="ListParagraph"/>
        <w:numPr>
          <w:ilvl w:val="0"/>
          <w:numId w:val="17"/>
        </w:numPr>
        <w:spacing w:line="360" w:lineRule="auto"/>
        <w:rPr>
          <w:rFonts w:ascii="Aptos" w:hAnsi="Aptos" w:cs="Times New Roman"/>
        </w:rPr>
      </w:pPr>
      <w:r w:rsidRPr="000A749B">
        <w:rPr>
          <w:rFonts w:ascii="Aptos" w:hAnsi="Aptos" w:cs="Times New Roman"/>
        </w:rPr>
        <w:t>La matriz tarifaria fija tarifas generales entre 5‰ y 16‰ y asigna 25‰ para lotes urbanizables no urbanizados y urbanizados no construidos; en zona rural aplica escalas por hectáreas para destinos agropecuarios y conexos, e incorpora un rubro “otros destinos” con milaje fijo, configurando disparidades de medición (SMLV, área) y vacíos tarifarios frente al catálogo vigente de destinos.</w:t>
      </w:r>
    </w:p>
    <w:p w14:paraId="3DD396AF" w14:textId="62740E3D" w:rsidR="000A749B" w:rsidRPr="000A749B" w:rsidRDefault="000A749B" w:rsidP="000A749B">
      <w:pPr>
        <w:pStyle w:val="ListParagraph"/>
        <w:numPr>
          <w:ilvl w:val="0"/>
          <w:numId w:val="17"/>
        </w:numPr>
        <w:spacing w:line="360" w:lineRule="auto"/>
        <w:rPr>
          <w:rFonts w:ascii="Aptos" w:hAnsi="Aptos" w:cs="Times New Roman"/>
        </w:rPr>
      </w:pPr>
      <w:r w:rsidRPr="000A749B">
        <w:rPr>
          <w:rFonts w:ascii="Aptos" w:hAnsi="Aptos" w:cs="Times New Roman"/>
        </w:rPr>
        <w:t>La clasificación de destinos se apoya en el LADM-COL v1.0 y usa una tabla de homologación desde denominaciones heredadas; subsisten categorías compuestas o residuales que no guardan correspondencia uno a uno con el diccionario de datos, lo que dificulta la liquidación consistente.</w:t>
      </w:r>
    </w:p>
    <w:p w14:paraId="794887E5" w14:textId="25BCB872" w:rsidR="000A749B" w:rsidRPr="000A749B" w:rsidRDefault="000A749B" w:rsidP="000A749B">
      <w:pPr>
        <w:pStyle w:val="ListParagraph"/>
        <w:numPr>
          <w:ilvl w:val="0"/>
          <w:numId w:val="17"/>
        </w:numPr>
        <w:spacing w:line="360" w:lineRule="auto"/>
        <w:rPr>
          <w:rFonts w:ascii="Aptos" w:hAnsi="Aptos" w:cs="Times New Roman"/>
        </w:rPr>
      </w:pPr>
      <w:r w:rsidRPr="000A749B">
        <w:rPr>
          <w:rFonts w:ascii="Aptos" w:hAnsi="Aptos" w:cs="Times New Roman"/>
        </w:rPr>
        <w:t>La determinación oficial vía documento factura se enuncia con mérito ejecutivo y notificación electrónica.</w:t>
      </w:r>
    </w:p>
    <w:p w14:paraId="6E92519A" w14:textId="21CB6D6D" w:rsidR="000A749B" w:rsidRPr="000A749B" w:rsidRDefault="000A749B" w:rsidP="000A749B">
      <w:pPr>
        <w:pStyle w:val="ListParagraph"/>
        <w:numPr>
          <w:ilvl w:val="0"/>
          <w:numId w:val="17"/>
        </w:numPr>
        <w:spacing w:line="360" w:lineRule="auto"/>
        <w:rPr>
          <w:rFonts w:ascii="Aptos" w:hAnsi="Aptos" w:cs="Times New Roman"/>
        </w:rPr>
      </w:pPr>
      <w:r w:rsidRPr="000A749B">
        <w:rPr>
          <w:rFonts w:ascii="Aptos" w:hAnsi="Aptos" w:cs="Times New Roman"/>
        </w:rPr>
        <w:t>Se reconoce compensación del impuesto en áreas de retiro obligatorio de vías, sin impacto fiscal.</w:t>
      </w:r>
    </w:p>
    <w:p w14:paraId="7E51730F" w14:textId="543C89DC" w:rsidR="000A749B" w:rsidRPr="000A749B" w:rsidRDefault="000A749B" w:rsidP="000A749B">
      <w:pPr>
        <w:pStyle w:val="ListParagraph"/>
        <w:numPr>
          <w:ilvl w:val="0"/>
          <w:numId w:val="17"/>
        </w:numPr>
        <w:spacing w:line="360" w:lineRule="auto"/>
        <w:rPr>
          <w:rFonts w:ascii="Aptos" w:hAnsi="Aptos" w:cs="Times New Roman"/>
        </w:rPr>
      </w:pPr>
      <w:r w:rsidRPr="000A749B">
        <w:rPr>
          <w:rFonts w:ascii="Aptos" w:hAnsi="Aptos" w:cs="Times New Roman"/>
        </w:rPr>
        <w:t>Se otorga descuento por pronto pago del 10% para pagos completos en el primer trimestre; no se prevé su interacción con otros beneficios desde la sostenibilidad fiscal.</w:t>
      </w:r>
    </w:p>
    <w:p w14:paraId="15B7F8DE" w14:textId="54C37A07" w:rsidR="000A749B" w:rsidRPr="000A749B" w:rsidRDefault="000A749B" w:rsidP="000A749B">
      <w:pPr>
        <w:pStyle w:val="ListParagraph"/>
        <w:numPr>
          <w:ilvl w:val="0"/>
          <w:numId w:val="17"/>
        </w:numPr>
        <w:spacing w:line="360" w:lineRule="auto"/>
        <w:rPr>
          <w:rFonts w:ascii="Aptos" w:hAnsi="Aptos" w:cs="Times New Roman"/>
        </w:rPr>
      </w:pPr>
      <w:r w:rsidRPr="000A749B">
        <w:rPr>
          <w:rFonts w:ascii="Aptos" w:hAnsi="Aptos" w:cs="Times New Roman"/>
        </w:rPr>
        <w:t>Se incorporan límites al crecimiento (reglas diferenciales para predios actualizados, no actualizados y vivienda de estratos bajos); no hay un esquema explícito de gradualidad/transición para actualización y rezago ni coordinación expresa con tributos atados al IPU.</w:t>
      </w:r>
    </w:p>
    <w:p w14:paraId="73B32F22" w14:textId="77777777" w:rsidR="000A749B" w:rsidRPr="000A749B" w:rsidRDefault="000A749B" w:rsidP="000A749B">
      <w:pPr>
        <w:pStyle w:val="ListParagraph"/>
        <w:numPr>
          <w:ilvl w:val="0"/>
          <w:numId w:val="17"/>
        </w:numPr>
        <w:spacing w:line="360" w:lineRule="auto"/>
        <w:rPr>
          <w:rFonts w:ascii="Aptos" w:hAnsi="Aptos" w:cs="Times New Roman"/>
        </w:rPr>
      </w:pPr>
      <w:r w:rsidRPr="000A749B">
        <w:rPr>
          <w:rFonts w:ascii="Aptos" w:hAnsi="Aptos" w:cs="Times New Roman"/>
        </w:rPr>
        <w:t>El régimen de predios excluidos/prohibidos y de exenciones es amplio (culto y conexos, monumentos nacionales sin ánimo de lucro, delegaciones extranjeras, juntas de acción y salones comunales, organismos de socorro, educación oficial, bienes fiscales municipales).</w:t>
      </w:r>
    </w:p>
    <w:p w14:paraId="373AD4FC" w14:textId="3C242A81" w:rsidR="000A749B" w:rsidRPr="000A749B" w:rsidRDefault="000A749B" w:rsidP="000A749B">
      <w:pPr>
        <w:pStyle w:val="ListParagraph"/>
        <w:numPr>
          <w:ilvl w:val="0"/>
          <w:numId w:val="17"/>
        </w:numPr>
        <w:spacing w:line="360" w:lineRule="auto"/>
        <w:rPr>
          <w:rFonts w:ascii="Aptos" w:hAnsi="Aptos" w:cs="Times New Roman"/>
        </w:rPr>
      </w:pPr>
      <w:r w:rsidRPr="000A749B">
        <w:rPr>
          <w:rFonts w:ascii="Aptos" w:hAnsi="Aptos" w:cs="Times New Roman"/>
        </w:rPr>
        <w:lastRenderedPageBreak/>
        <w:t>Se contempla compensación por resguardos indígenas y un tratamiento de bienes de dominio público con gravamen condicionado.</w:t>
      </w:r>
    </w:p>
    <w:p w14:paraId="67099971" w14:textId="7F7DAAC4" w:rsidR="000A749B" w:rsidRPr="000A749B" w:rsidRDefault="000A749B" w:rsidP="000A749B">
      <w:pPr>
        <w:pStyle w:val="ListParagraph"/>
        <w:numPr>
          <w:ilvl w:val="0"/>
          <w:numId w:val="17"/>
        </w:numPr>
        <w:spacing w:line="360" w:lineRule="auto"/>
        <w:rPr>
          <w:rFonts w:ascii="Aptos" w:hAnsi="Aptos" w:cs="Times New Roman"/>
        </w:rPr>
      </w:pPr>
      <w:r w:rsidRPr="000A749B">
        <w:rPr>
          <w:rFonts w:ascii="Aptos" w:hAnsi="Aptos" w:cs="Times New Roman"/>
        </w:rPr>
        <w:t>Sobretasas: se fija una ambiental del 1,5‰) y una bomberil del 2% no se precisa la compatibilidad o incompatibilidad de las exenciones del IPU con la sobretasa bomberil, ni para la ambiental.</w:t>
      </w:r>
    </w:p>
    <w:p w14:paraId="76507258" w14:textId="76A288BC" w:rsidR="000A749B" w:rsidRPr="000A749B" w:rsidRDefault="000A749B" w:rsidP="000A749B">
      <w:pPr>
        <w:pStyle w:val="ListParagraph"/>
        <w:numPr>
          <w:ilvl w:val="0"/>
          <w:numId w:val="17"/>
        </w:numPr>
        <w:spacing w:line="360" w:lineRule="auto"/>
        <w:rPr>
          <w:rFonts w:ascii="Aptos" w:hAnsi="Aptos" w:cs="Times New Roman"/>
        </w:rPr>
      </w:pPr>
      <w:r w:rsidRPr="000A749B">
        <w:rPr>
          <w:rFonts w:ascii="Aptos" w:hAnsi="Aptos" w:cs="Times New Roman"/>
        </w:rPr>
        <w:t>Procedimiento operativo catastral: no se incorpora el procedimiento operativo de la Resolución IGAC 1040 de 2023.</w:t>
      </w:r>
    </w:p>
    <w:p w14:paraId="073F8233" w14:textId="330ED3C0" w:rsidR="000A749B" w:rsidRPr="000A749B" w:rsidRDefault="000A749B" w:rsidP="000A749B">
      <w:pPr>
        <w:pStyle w:val="ListParagraph"/>
        <w:numPr>
          <w:ilvl w:val="0"/>
          <w:numId w:val="17"/>
        </w:numPr>
        <w:spacing w:line="360" w:lineRule="auto"/>
        <w:rPr>
          <w:rFonts w:ascii="Aptos" w:hAnsi="Aptos" w:cs="Times New Roman"/>
        </w:rPr>
      </w:pPr>
      <w:r w:rsidRPr="000A749B">
        <w:rPr>
          <w:rFonts w:ascii="Aptos" w:hAnsi="Aptos" w:cs="Times New Roman"/>
        </w:rPr>
        <w:t>Se prevén exenciones para inmuebles de corporaciones autónomas destinados a conservación y para áreas de conservación de aguas, fauna y flora reglamentadas, y prohibición de gravamen para parques naturales/públicos.</w:t>
      </w:r>
    </w:p>
    <w:p w14:paraId="2A72851E" w14:textId="77777777" w:rsidR="000A749B" w:rsidRPr="000A749B" w:rsidRDefault="000A749B" w:rsidP="000A749B">
      <w:pPr>
        <w:pStyle w:val="ListParagraph"/>
        <w:spacing w:line="360" w:lineRule="auto"/>
        <w:rPr>
          <w:rFonts w:ascii="Aptos" w:hAnsi="Aptos" w:cs="Times New Roman"/>
        </w:rPr>
      </w:pPr>
    </w:p>
    <w:p w14:paraId="027D405B" w14:textId="77777777" w:rsidR="000A749B" w:rsidRDefault="000A749B" w:rsidP="000A749B">
      <w:pPr>
        <w:spacing w:line="360" w:lineRule="auto"/>
        <w:rPr>
          <w:rFonts w:ascii="Aptos" w:hAnsi="Aptos" w:cs="Times New Roman"/>
          <w:b/>
          <w:bCs/>
          <w:sz w:val="32"/>
          <w:szCs w:val="32"/>
        </w:rPr>
      </w:pPr>
      <w:r w:rsidRPr="000A749B">
        <w:rPr>
          <w:rFonts w:ascii="Aptos" w:hAnsi="Aptos" w:cs="Times New Roman"/>
          <w:b/>
          <w:bCs/>
          <w:sz w:val="32"/>
          <w:szCs w:val="32"/>
        </w:rPr>
        <w:t>Recomendaciones</w:t>
      </w:r>
    </w:p>
    <w:p w14:paraId="06699848" w14:textId="6C10AEDB" w:rsidR="000A749B" w:rsidRPr="000A749B" w:rsidRDefault="000A749B" w:rsidP="000A749B">
      <w:pPr>
        <w:pStyle w:val="ListParagraph"/>
        <w:numPr>
          <w:ilvl w:val="0"/>
          <w:numId w:val="18"/>
        </w:numPr>
        <w:spacing w:line="360" w:lineRule="auto"/>
        <w:rPr>
          <w:rFonts w:ascii="Aptos" w:hAnsi="Aptos" w:cs="Times New Roman"/>
        </w:rPr>
      </w:pPr>
      <w:r w:rsidRPr="000A749B">
        <w:rPr>
          <w:rFonts w:ascii="Aptos" w:hAnsi="Aptos" w:cs="Times New Roman"/>
        </w:rPr>
        <w:t>Actualizar la tabla de destinos económicos conforme a la Resolución 2025060163216 para alinear integralmente el estatuto con el modelo LADM-COL v4.1 y evitar vacíos tarifarios.</w:t>
      </w:r>
    </w:p>
    <w:p w14:paraId="1C03C778" w14:textId="23191854" w:rsidR="000A749B" w:rsidRPr="000A749B" w:rsidRDefault="000A749B" w:rsidP="000A749B">
      <w:pPr>
        <w:pStyle w:val="ListParagraph"/>
        <w:numPr>
          <w:ilvl w:val="0"/>
          <w:numId w:val="18"/>
        </w:numPr>
        <w:spacing w:line="360" w:lineRule="auto"/>
        <w:rPr>
          <w:rFonts w:ascii="Aptos" w:hAnsi="Aptos" w:cs="Times New Roman"/>
        </w:rPr>
      </w:pPr>
      <w:r w:rsidRPr="000A749B">
        <w:rPr>
          <w:rFonts w:ascii="Aptos" w:hAnsi="Aptos" w:cs="Times New Roman"/>
        </w:rPr>
        <w:t>Estandarizar el tratamiento de áreas de retiro y realizar estimación del costo fiscal.</w:t>
      </w:r>
    </w:p>
    <w:p w14:paraId="5807FABE" w14:textId="3686A6B0" w:rsidR="000A749B" w:rsidRPr="000A749B" w:rsidRDefault="000A749B" w:rsidP="000A749B">
      <w:pPr>
        <w:pStyle w:val="ListParagraph"/>
        <w:numPr>
          <w:ilvl w:val="0"/>
          <w:numId w:val="18"/>
        </w:numPr>
        <w:spacing w:line="360" w:lineRule="auto"/>
        <w:rPr>
          <w:rFonts w:ascii="Aptos" w:hAnsi="Aptos" w:cs="Times New Roman"/>
        </w:rPr>
      </w:pPr>
      <w:r w:rsidRPr="000A749B">
        <w:rPr>
          <w:rFonts w:ascii="Aptos" w:hAnsi="Aptos" w:cs="Times New Roman"/>
        </w:rPr>
        <w:t>Adoptar un esquema de gradualidad y transición que articule límites en escenarios de actualización y rezago y coordine expresamente su alcance respecto de tributos atados al IPU, como la sobretasa bomberil y ambiental.</w:t>
      </w:r>
    </w:p>
    <w:p w14:paraId="452B350C" w14:textId="5EA4FDC3" w:rsidR="000A749B" w:rsidRPr="000A749B" w:rsidRDefault="000A749B" w:rsidP="000A749B">
      <w:pPr>
        <w:pStyle w:val="ListParagraph"/>
        <w:numPr>
          <w:ilvl w:val="0"/>
          <w:numId w:val="18"/>
        </w:numPr>
        <w:spacing w:line="360" w:lineRule="auto"/>
        <w:rPr>
          <w:rFonts w:ascii="Aptos" w:hAnsi="Aptos" w:cs="Times New Roman"/>
        </w:rPr>
      </w:pPr>
      <w:r w:rsidRPr="000A749B">
        <w:rPr>
          <w:rFonts w:ascii="Aptos" w:hAnsi="Aptos" w:cs="Times New Roman"/>
        </w:rPr>
        <w:t>Precisar la compatibilidad de exenciones del IPU con la sobretasa bomberil y con la ambiental, indicando de forma expresa si se mantienen, limitan o excluyen y cuál es la base y el procedimiento aplicable.</w:t>
      </w:r>
    </w:p>
    <w:p w14:paraId="259EE806" w14:textId="1D770575" w:rsidR="000A749B" w:rsidRPr="000A749B" w:rsidRDefault="000A749B" w:rsidP="000A749B">
      <w:pPr>
        <w:pStyle w:val="ListParagraph"/>
        <w:numPr>
          <w:ilvl w:val="0"/>
          <w:numId w:val="18"/>
        </w:numPr>
        <w:spacing w:line="360" w:lineRule="auto"/>
        <w:rPr>
          <w:rFonts w:ascii="Aptos" w:hAnsi="Aptos" w:cs="Times New Roman"/>
        </w:rPr>
      </w:pPr>
      <w:r w:rsidRPr="000A749B">
        <w:rPr>
          <w:rFonts w:ascii="Aptos" w:hAnsi="Aptos" w:cs="Times New Roman"/>
        </w:rPr>
        <w:t>Incorporar el procedimiento operativo de la Resolución IGAC 1040 de 2023.</w:t>
      </w:r>
    </w:p>
    <w:p w14:paraId="412E737A" w14:textId="77777777" w:rsidR="00707E60" w:rsidRDefault="00707E60"/>
    <w:p w14:paraId="59F5D9C1" w14:textId="77777777" w:rsidR="00707E60" w:rsidRDefault="00707E60"/>
    <w:p w14:paraId="39A1343E" w14:textId="77777777" w:rsidR="00707E60" w:rsidRDefault="00707E60"/>
    <w:p w14:paraId="46B394A7" w14:textId="77777777" w:rsidR="00707E60" w:rsidRDefault="00707E60"/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32D69" w14:textId="77777777" w:rsidR="00DB3E82" w:rsidRDefault="00DB3E82" w:rsidP="00707E60">
      <w:pPr>
        <w:spacing w:after="0" w:line="240" w:lineRule="auto"/>
      </w:pPr>
      <w:r>
        <w:separator/>
      </w:r>
    </w:p>
  </w:endnote>
  <w:endnote w:type="continuationSeparator" w:id="0">
    <w:p w14:paraId="3F1B56BF" w14:textId="77777777" w:rsidR="00DB3E82" w:rsidRDefault="00DB3E82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4939A" w14:textId="77777777" w:rsidR="00DB3E82" w:rsidRDefault="00DB3E82" w:rsidP="00707E60">
      <w:pPr>
        <w:spacing w:after="0" w:line="240" w:lineRule="auto"/>
      </w:pPr>
      <w:r>
        <w:separator/>
      </w:r>
    </w:p>
  </w:footnote>
  <w:footnote w:type="continuationSeparator" w:id="0">
    <w:p w14:paraId="3B5E1D9E" w14:textId="77777777" w:rsidR="00DB3E82" w:rsidRDefault="00DB3E82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59162596">
              <wp:simplePos x="0" y="0"/>
              <wp:positionH relativeFrom="column">
                <wp:posOffset>38500</wp:posOffset>
              </wp:positionH>
              <wp:positionV relativeFrom="paragraph">
                <wp:posOffset>-112696</wp:posOffset>
              </wp:positionV>
              <wp:extent cx="3484345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84345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45AB46E" w14:textId="77777777" w:rsidR="00DD0016" w:rsidRPr="00327CFA" w:rsidRDefault="00DD0016" w:rsidP="00DD0016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2CE8A708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Ficha Municipio</w:t>
                          </w:r>
                          <w:r w:rsidR="0072362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 </w:t>
                          </w:r>
                          <w:r w:rsidR="005C3FCA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T</w:t>
                          </w:r>
                          <w:r w:rsidR="00B05C5D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oledo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3.05pt;margin-top:-8.85pt;width:274.3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" filled="f" stroked="f">
              <v:textbox>
                <w:txbxContent>
                  <w:p w14:paraId="745AB46E" w14:textId="77777777" w:rsidR="00DD0016" w:rsidRPr="00327CFA" w:rsidRDefault="00DD0016" w:rsidP="00DD0016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2CE8A708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>Ficha Municipio</w:t>
                    </w:r>
                    <w:r w:rsidR="00723620">
                      <w:rPr>
                        <w:color w:val="000000" w:themeColor="text1"/>
                        <w:sz w:val="28"/>
                        <w:szCs w:val="28"/>
                      </w:rPr>
                      <w:t xml:space="preserve"> </w:t>
                    </w:r>
                    <w:r w:rsidR="005C3FCA">
                      <w:rPr>
                        <w:color w:val="000000" w:themeColor="text1"/>
                        <w:sz w:val="28"/>
                        <w:szCs w:val="28"/>
                      </w:rPr>
                      <w:t>T</w:t>
                    </w:r>
                    <w:r w:rsidR="00B05C5D">
                      <w:rPr>
                        <w:color w:val="000000" w:themeColor="text1"/>
                        <w:sz w:val="28"/>
                        <w:szCs w:val="28"/>
                      </w:rPr>
                      <w:t>oledo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5253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42059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31374"/>
    <w:multiLevelType w:val="hybridMultilevel"/>
    <w:tmpl w:val="E294F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656B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801299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37385E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AC1018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861743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F91FF4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780CED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A713C9"/>
    <w:multiLevelType w:val="hybridMultilevel"/>
    <w:tmpl w:val="506CA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C62DA3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D71B67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DF2431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2D16B3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E011F3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7704">
    <w:abstractNumId w:val="6"/>
  </w:num>
  <w:num w:numId="2" w16cid:durableId="1017347282">
    <w:abstractNumId w:val="10"/>
  </w:num>
  <w:num w:numId="3" w16cid:durableId="44450645">
    <w:abstractNumId w:val="14"/>
  </w:num>
  <w:num w:numId="4" w16cid:durableId="1953855267">
    <w:abstractNumId w:val="0"/>
  </w:num>
  <w:num w:numId="5" w16cid:durableId="279457733">
    <w:abstractNumId w:val="7"/>
  </w:num>
  <w:num w:numId="6" w16cid:durableId="829055416">
    <w:abstractNumId w:val="1"/>
  </w:num>
  <w:num w:numId="7" w16cid:durableId="1974747392">
    <w:abstractNumId w:val="5"/>
  </w:num>
  <w:num w:numId="8" w16cid:durableId="1342120387">
    <w:abstractNumId w:val="13"/>
  </w:num>
  <w:num w:numId="9" w16cid:durableId="350257001">
    <w:abstractNumId w:val="4"/>
  </w:num>
  <w:num w:numId="10" w16cid:durableId="1078140204">
    <w:abstractNumId w:val="8"/>
  </w:num>
  <w:num w:numId="11" w16cid:durableId="1792938771">
    <w:abstractNumId w:val="9"/>
  </w:num>
  <w:num w:numId="12" w16cid:durableId="1526560268">
    <w:abstractNumId w:val="15"/>
  </w:num>
  <w:num w:numId="13" w16cid:durableId="684139451">
    <w:abstractNumId w:val="16"/>
  </w:num>
  <w:num w:numId="14" w16cid:durableId="2066485375">
    <w:abstractNumId w:val="17"/>
  </w:num>
  <w:num w:numId="15" w16cid:durableId="1048799774">
    <w:abstractNumId w:val="3"/>
  </w:num>
  <w:num w:numId="16" w16cid:durableId="763765178">
    <w:abstractNumId w:val="11"/>
  </w:num>
  <w:num w:numId="17" w16cid:durableId="2015180867">
    <w:abstractNumId w:val="2"/>
  </w:num>
  <w:num w:numId="18" w16cid:durableId="13853694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42DD7"/>
    <w:rsid w:val="00084B98"/>
    <w:rsid w:val="000A749B"/>
    <w:rsid w:val="00120797"/>
    <w:rsid w:val="00134527"/>
    <w:rsid w:val="00211E44"/>
    <w:rsid w:val="0023618C"/>
    <w:rsid w:val="0031580C"/>
    <w:rsid w:val="003650D0"/>
    <w:rsid w:val="003A7CEA"/>
    <w:rsid w:val="003E2241"/>
    <w:rsid w:val="004107CA"/>
    <w:rsid w:val="005422DF"/>
    <w:rsid w:val="005C3FCA"/>
    <w:rsid w:val="005D08ED"/>
    <w:rsid w:val="005F7A75"/>
    <w:rsid w:val="00605B4C"/>
    <w:rsid w:val="00665846"/>
    <w:rsid w:val="006A249B"/>
    <w:rsid w:val="00701CC9"/>
    <w:rsid w:val="00707E60"/>
    <w:rsid w:val="00723620"/>
    <w:rsid w:val="00813F67"/>
    <w:rsid w:val="00844CC8"/>
    <w:rsid w:val="00845F02"/>
    <w:rsid w:val="00855468"/>
    <w:rsid w:val="009D1788"/>
    <w:rsid w:val="009D1F9E"/>
    <w:rsid w:val="00A27409"/>
    <w:rsid w:val="00A53B01"/>
    <w:rsid w:val="00A55C9A"/>
    <w:rsid w:val="00A60686"/>
    <w:rsid w:val="00A96461"/>
    <w:rsid w:val="00AA7DD4"/>
    <w:rsid w:val="00B05C5D"/>
    <w:rsid w:val="00B9278F"/>
    <w:rsid w:val="00B9597A"/>
    <w:rsid w:val="00BC7035"/>
    <w:rsid w:val="00BE3801"/>
    <w:rsid w:val="00C04706"/>
    <w:rsid w:val="00C24423"/>
    <w:rsid w:val="00C3440A"/>
    <w:rsid w:val="00C4509C"/>
    <w:rsid w:val="00C942B0"/>
    <w:rsid w:val="00D37EF2"/>
    <w:rsid w:val="00DB14E5"/>
    <w:rsid w:val="00DB3E82"/>
    <w:rsid w:val="00DD0016"/>
    <w:rsid w:val="00E20840"/>
    <w:rsid w:val="00E608BE"/>
    <w:rsid w:val="00F27231"/>
    <w:rsid w:val="00F65205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Subtitle"/>
    <w:next w:val="Normal"/>
    <w:link w:val="TitleChar"/>
    <w:uiPriority w:val="10"/>
    <w:qFormat/>
    <w:rsid w:val="00AA7DD4"/>
    <w:pPr>
      <w:spacing w:line="360" w:lineRule="auto"/>
      <w:ind w:left="1080" w:hanging="720"/>
      <w:contextualSpacing/>
      <w:jc w:val="both"/>
    </w:pPr>
    <w:rPr>
      <w:b/>
      <w:bCs/>
      <w:color w:val="000000" w:themeColor="text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A7DD4"/>
    <w:rPr>
      <w:rFonts w:eastAsiaTheme="majorEastAsia" w:cstheme="majorBidi"/>
      <w:b/>
      <w:bCs/>
      <w:color w:val="000000" w:themeColor="text1"/>
      <w:spacing w:val="15"/>
      <w:sz w:val="32"/>
      <w:szCs w:val="32"/>
      <w:lang w:val="es-CO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  <w:style w:type="paragraph" w:customStyle="1" w:styleId="Style1">
    <w:name w:val="Style1"/>
    <w:basedOn w:val="Normal"/>
    <w:qFormat/>
    <w:rsid w:val="00AA7DD4"/>
    <w:pPr>
      <w:spacing w:line="360" w:lineRule="auto"/>
      <w:ind w:left="720" w:hanging="360"/>
      <w:jc w:val="both"/>
    </w:pPr>
    <w:rPr>
      <w:rFonts w:ascii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12</cp:revision>
  <dcterms:created xsi:type="dcterms:W3CDTF">2025-10-23T17:12:00Z</dcterms:created>
  <dcterms:modified xsi:type="dcterms:W3CDTF">2025-11-12T12:49:00Z</dcterms:modified>
</cp:coreProperties>
</file>