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641406A1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1503A74C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10AE1">
        <w:rPr>
          <w:color w:val="000000" w:themeColor="text1"/>
          <w:sz w:val="44"/>
          <w:szCs w:val="44"/>
        </w:rPr>
        <w:t>Yondó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5BD28041" w14:textId="77777777" w:rsidR="00C16A2E" w:rsidRPr="00C16A2E" w:rsidRDefault="00C16A2E" w:rsidP="00C16A2E">
      <w:pPr>
        <w:spacing w:line="360" w:lineRule="auto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lastRenderedPageBreak/>
        <w:t>El estado actual de su normatividad tributaria se establece en el Acuerdo 15 de 2018.</w:t>
      </w:r>
    </w:p>
    <w:p w14:paraId="358F295C" w14:textId="77777777" w:rsidR="00C16A2E" w:rsidRPr="00C16A2E" w:rsidRDefault="00C16A2E" w:rsidP="00C16A2E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C16A2E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0328FE7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3EC776D2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No se incorpora el procedimiento operativo catastral vigente (Resolución 1040 de 2023).</w:t>
      </w:r>
    </w:p>
    <w:p w14:paraId="05263155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 xml:space="preserve"> Estructura tarifaria: se fija un rango general entre 5‰ y 16‰ y, simultáneamente, la matriz usa rangos en pesos para determinados tramos, lo que genera heterogeneidad y dificulta la actualización anual de referencias.</w:t>
      </w:r>
    </w:p>
    <w:p w14:paraId="253F3198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Lotes urbanizables no urbanizados y urbanizados no edificados: se prevé tarifa hasta 33‰, pero no se establece una regla de prelación explícita frente a otras categorías cuando concurren clasificaciones o cambios de uso.</w:t>
      </w:r>
    </w:p>
    <w:p w14:paraId="045E520A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Límites/incrementos: existen “porcentajes de incremento” del impuesto, pero no se armonizan con escenarios de actualización y rezago catastral, ni se coordinan con recargos atados al IPU, lo que puede producir saltos de carga.</w:t>
      </w:r>
    </w:p>
    <w:p w14:paraId="317DF77D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Determinación y facturación: se adopta liquidación oficial/documento de cobro con mérito ejecutivo, sin detallar contenido mínimo del acto, protocolo de notificación y constancias, ni mecanismos de difusión previa.</w:t>
      </w:r>
    </w:p>
    <w:p w14:paraId="488C568B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Periodicidad y pago: el recaudo es anual y el pago ordinario se establece por trimestres.</w:t>
      </w:r>
    </w:p>
    <w:p w14:paraId="4AE0EE0F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Beneficios por pronto pago: se habilitan mediante actos administrativos posteriores.</w:t>
      </w:r>
    </w:p>
    <w:p w14:paraId="32198DF1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Se contemplan “excepciones a la liquidación” por entrega anticipada de inmuebles para utilidad pública; también se prevén exenciones por cinco años (p. ej., monumentos, educación pública, misiones diplomáticas, beneficios locales, entre otras). No se separa nítidamente “prohibido gravamen/no sujeción” de “exenciones”, ni se define regla de no concurrencia.</w:t>
      </w:r>
    </w:p>
    <w:p w14:paraId="19671DE3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Sobretasa ambiental con tarifa anual entre 1,5‰ y 2,5‰ fijada por el Concejo anualmente.</w:t>
      </w:r>
    </w:p>
    <w:p w14:paraId="23F23DF2" w14:textId="5E4B844E" w:rsid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Se consigna exención para “reserva forestal” y una sobretasa ambiental con tarifa anual entre 1,5‰ y 2,5‰ fijada por el Concejo</w:t>
      </w:r>
      <w:r>
        <w:rPr>
          <w:rFonts w:ascii="Aptos" w:hAnsi="Aptos" w:cs="Times New Roman"/>
        </w:rPr>
        <w:t xml:space="preserve">. </w:t>
      </w:r>
    </w:p>
    <w:p w14:paraId="0A3BC593" w14:textId="77777777" w:rsidR="00C16A2E" w:rsidRPr="00C16A2E" w:rsidRDefault="00C16A2E" w:rsidP="00C16A2E">
      <w:pPr>
        <w:widowControl w:val="0"/>
        <w:spacing w:after="0" w:line="360" w:lineRule="auto"/>
        <w:jc w:val="both"/>
        <w:rPr>
          <w:rFonts w:ascii="Aptos" w:hAnsi="Aptos" w:cs="Times New Roman"/>
        </w:rPr>
      </w:pPr>
    </w:p>
    <w:p w14:paraId="56C9EB78" w14:textId="1C04D3E3" w:rsidR="00C16A2E" w:rsidRPr="00C16A2E" w:rsidRDefault="00C16A2E" w:rsidP="00C16A2E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C16A2E">
        <w:rPr>
          <w:rFonts w:ascii="Aptos" w:hAnsi="Aptos" w:cs="Times New Roman"/>
          <w:b/>
          <w:bCs/>
          <w:sz w:val="32"/>
          <w:szCs w:val="32"/>
        </w:rPr>
        <w:lastRenderedPageBreak/>
        <w:t>Recomendaciones</w:t>
      </w:r>
    </w:p>
    <w:p w14:paraId="1B5B4033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16BAA3B2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Incorporar de forma expresa la Resolución 1040 de 2023 en el capítulo operativo: mutaciones, flujos de información, interoperabilidad (incluida articulación catastro-registro), reportes y roles, asegurando coherencia entre operación catastral y liquidación del IPU.</w:t>
      </w:r>
    </w:p>
    <w:p w14:paraId="11269BDD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Homologar la matriz tarifaria a un único esquema de milajes por destinación económica sobre el avalúo; sustituir los rangos en COP por rangos en UVT.</w:t>
      </w:r>
    </w:p>
    <w:p w14:paraId="1136299B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Precisar la prelación y las pruebas para clasificar lotes urbanizables no urbanizados y urbanizados no edificados frente a otras categorías, y consolidar reglas de cambio de uso para evitar solapamientos.</w:t>
      </w:r>
    </w:p>
    <w:p w14:paraId="65E6DB40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Crear un régimen de límites/gradualidad que diferencie expresamente actualización y rezago catastral, con transición clara y coordinación respecto de tributos/recargos atados al IPU, evitando incrementos abruptos.</w:t>
      </w:r>
    </w:p>
    <w:p w14:paraId="64760C13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Fortalecer la determinación por factura/liquidación oficial: establecer contenido mínimo para asegurar mérito ejecutivo.</w:t>
      </w:r>
    </w:p>
    <w:p w14:paraId="1FBA2F56" w14:textId="77777777" w:rsidR="00C16A2E" w:rsidRPr="00C16A2E" w:rsidRDefault="00C16A2E" w:rsidP="00C16A2E">
      <w:pPr>
        <w:pStyle w:val="ListParagraph"/>
        <w:widowControl w:val="0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C16A2E">
        <w:rPr>
          <w:rFonts w:ascii="Aptos" w:hAnsi="Aptos" w:cs="Times New Roman"/>
        </w:rPr>
        <w:t>Fijar una tarifa concreta de la sobretasa ambiental dentro del margen permitido para evitar incertidumbre, y facilitar la liquidación y cobro de esta.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CBA8" w14:textId="77777777" w:rsidR="00F11E62" w:rsidRDefault="00F11E62" w:rsidP="00707E60">
      <w:pPr>
        <w:spacing w:after="0" w:line="240" w:lineRule="auto"/>
      </w:pPr>
      <w:r>
        <w:separator/>
      </w:r>
    </w:p>
  </w:endnote>
  <w:endnote w:type="continuationSeparator" w:id="0">
    <w:p w14:paraId="5B4E29E0" w14:textId="77777777" w:rsidR="00F11E62" w:rsidRDefault="00F11E62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B929" w14:textId="77777777" w:rsidR="00F11E62" w:rsidRDefault="00F11E62" w:rsidP="00707E60">
      <w:pPr>
        <w:spacing w:after="0" w:line="240" w:lineRule="auto"/>
      </w:pPr>
      <w:r>
        <w:separator/>
      </w:r>
    </w:p>
  </w:footnote>
  <w:footnote w:type="continuationSeparator" w:id="0">
    <w:p w14:paraId="27FA3C6F" w14:textId="77777777" w:rsidR="00F11E62" w:rsidRDefault="00F11E62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60136B9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AA1A05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Y</w:t>
                          </w:r>
                          <w:r w:rsidR="00210AE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ondó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60136B9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AA1A05">
                      <w:rPr>
                        <w:color w:val="000000" w:themeColor="text1"/>
                        <w:sz w:val="28"/>
                        <w:szCs w:val="28"/>
                      </w:rPr>
                      <w:t>Y</w:t>
                    </w:r>
                    <w:r w:rsidR="00210AE1">
                      <w:rPr>
                        <w:color w:val="000000" w:themeColor="text1"/>
                        <w:sz w:val="28"/>
                        <w:szCs w:val="28"/>
                      </w:rPr>
                      <w:t>ondó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12D9"/>
    <w:multiLevelType w:val="hybridMultilevel"/>
    <w:tmpl w:val="C82CDE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31374"/>
    <w:multiLevelType w:val="hybridMultilevel"/>
    <w:tmpl w:val="E294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260D7"/>
    <w:multiLevelType w:val="hybridMultilevel"/>
    <w:tmpl w:val="3BFA4D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713C9"/>
    <w:multiLevelType w:val="hybridMultilevel"/>
    <w:tmpl w:val="506C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8"/>
  </w:num>
  <w:num w:numId="2" w16cid:durableId="1017347282">
    <w:abstractNumId w:val="12"/>
  </w:num>
  <w:num w:numId="3" w16cid:durableId="44450645">
    <w:abstractNumId w:val="16"/>
  </w:num>
  <w:num w:numId="4" w16cid:durableId="1953855267">
    <w:abstractNumId w:val="1"/>
  </w:num>
  <w:num w:numId="5" w16cid:durableId="279457733">
    <w:abstractNumId w:val="9"/>
  </w:num>
  <w:num w:numId="6" w16cid:durableId="829055416">
    <w:abstractNumId w:val="2"/>
  </w:num>
  <w:num w:numId="7" w16cid:durableId="1974747392">
    <w:abstractNumId w:val="7"/>
  </w:num>
  <w:num w:numId="8" w16cid:durableId="1342120387">
    <w:abstractNumId w:val="15"/>
  </w:num>
  <w:num w:numId="9" w16cid:durableId="350257001">
    <w:abstractNumId w:val="5"/>
  </w:num>
  <w:num w:numId="10" w16cid:durableId="1078140204">
    <w:abstractNumId w:val="10"/>
  </w:num>
  <w:num w:numId="11" w16cid:durableId="1792938771">
    <w:abstractNumId w:val="11"/>
  </w:num>
  <w:num w:numId="12" w16cid:durableId="1526560268">
    <w:abstractNumId w:val="17"/>
  </w:num>
  <w:num w:numId="13" w16cid:durableId="684139451">
    <w:abstractNumId w:val="18"/>
  </w:num>
  <w:num w:numId="14" w16cid:durableId="2066485375">
    <w:abstractNumId w:val="19"/>
  </w:num>
  <w:num w:numId="15" w16cid:durableId="1048799774">
    <w:abstractNumId w:val="4"/>
  </w:num>
  <w:num w:numId="16" w16cid:durableId="763765178">
    <w:abstractNumId w:val="13"/>
  </w:num>
  <w:num w:numId="17" w16cid:durableId="2015180867">
    <w:abstractNumId w:val="3"/>
  </w:num>
  <w:num w:numId="18" w16cid:durableId="1385369495">
    <w:abstractNumId w:val="14"/>
  </w:num>
  <w:num w:numId="19" w16cid:durableId="737477554">
    <w:abstractNumId w:val="0"/>
  </w:num>
  <w:num w:numId="20" w16cid:durableId="911543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0A749B"/>
    <w:rsid w:val="00120797"/>
    <w:rsid w:val="00134527"/>
    <w:rsid w:val="00210AE1"/>
    <w:rsid w:val="00211E44"/>
    <w:rsid w:val="00214B87"/>
    <w:rsid w:val="0023618C"/>
    <w:rsid w:val="0031580C"/>
    <w:rsid w:val="003650D0"/>
    <w:rsid w:val="003A7CEA"/>
    <w:rsid w:val="003E2241"/>
    <w:rsid w:val="004107CA"/>
    <w:rsid w:val="00532333"/>
    <w:rsid w:val="005422DF"/>
    <w:rsid w:val="005C3FCA"/>
    <w:rsid w:val="005D08ED"/>
    <w:rsid w:val="005F7A75"/>
    <w:rsid w:val="00605B4C"/>
    <w:rsid w:val="00665846"/>
    <w:rsid w:val="006A249B"/>
    <w:rsid w:val="00701CC9"/>
    <w:rsid w:val="00707E60"/>
    <w:rsid w:val="00723620"/>
    <w:rsid w:val="00813F67"/>
    <w:rsid w:val="00844CC8"/>
    <w:rsid w:val="00845F02"/>
    <w:rsid w:val="00855468"/>
    <w:rsid w:val="009D1788"/>
    <w:rsid w:val="009D1F9E"/>
    <w:rsid w:val="00A27409"/>
    <w:rsid w:val="00A53B01"/>
    <w:rsid w:val="00A55C9A"/>
    <w:rsid w:val="00A60686"/>
    <w:rsid w:val="00A96461"/>
    <w:rsid w:val="00AA1A05"/>
    <w:rsid w:val="00AA7DD4"/>
    <w:rsid w:val="00B05C5D"/>
    <w:rsid w:val="00B9278F"/>
    <w:rsid w:val="00B9597A"/>
    <w:rsid w:val="00BC7035"/>
    <w:rsid w:val="00BE3801"/>
    <w:rsid w:val="00C04706"/>
    <w:rsid w:val="00C16A2E"/>
    <w:rsid w:val="00C24423"/>
    <w:rsid w:val="00C3440A"/>
    <w:rsid w:val="00C4509C"/>
    <w:rsid w:val="00C942B0"/>
    <w:rsid w:val="00D37EF2"/>
    <w:rsid w:val="00DB14E5"/>
    <w:rsid w:val="00DB3E82"/>
    <w:rsid w:val="00DD0016"/>
    <w:rsid w:val="00E20840"/>
    <w:rsid w:val="00E608BE"/>
    <w:rsid w:val="00F11E62"/>
    <w:rsid w:val="00F15DC3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17</cp:revision>
  <dcterms:created xsi:type="dcterms:W3CDTF">2025-10-23T17:12:00Z</dcterms:created>
  <dcterms:modified xsi:type="dcterms:W3CDTF">2025-11-12T12:53:00Z</dcterms:modified>
</cp:coreProperties>
</file>