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9.png" ContentType="image/png"/>
  <Override PartName="/word/media/rId12.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19.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41.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Override PartName="/word/media/rId158.png" ContentType="image/png"/>
  <Override PartName="/word/media/rId161.png" ContentType="image/png"/>
  <Override PartName="/word/media/rId113.png" ContentType="image/png"/>
  <Override PartName="/word/media/rId166.png" ContentType="image/png"/>
  <Override PartName="/word/media/rId169.png" ContentType="image/png"/>
  <Override PartName="/word/media/rId172.png" ContentType="image/png"/>
  <Override PartName="/word/media/rId175.png" ContentType="image/png"/>
  <Override PartName="/word/media/rId178.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183.png" ContentType="image/png"/>
  <Override PartName="/word/media/rId212.png" ContentType="image/png"/>
  <Override PartName="/word/media/rId215.png" ContentType="image/png"/>
  <Override PartName="/word/media/rId218.png" ContentType="image/png"/>
  <Override PartName="/word/media/rId209.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22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49.png" ContentType="image/png"/>
  <Override PartName="/word/media/rId2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Diagnóstico Integral Territorial — Provincia Bioenergética del Norte de Antioquia</w:t>
      </w:r>
    </w:p>
    <w:p>
      <w:pPr>
        <w:pStyle w:val="Subtitle"/>
      </w:pPr>
      <w:r>
        <w:t xml:space="preserve">Contexto departamental y provincial extendido</w:t>
      </w:r>
    </w:p>
    <w:p>
      <w:pPr>
        <w:pStyle w:val="Author"/>
      </w:pPr>
      <w:r>
        <w:t xml:space="preserve">Proyecto Provincias · Planes Estratégicos Provinciales de Antioquia</w:t>
      </w:r>
    </w:p>
    <w:p>
      <w:pPr>
        <w:pStyle w:val="Date"/>
      </w:pPr>
      <w:r>
        <w:t xml:space="preserve">21 de agosto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Cómo leer este borrador.</w:t>
      </w:r>
      <w:r>
        <w:t xml:space="preserve"> </w:t>
      </w:r>
      <w:r>
        <w:t xml:space="preserve">La estructura y los encabezados son los del</w:t>
      </w:r>
      <w:r>
        <w:t xml:space="preserve"> </w:t>
      </w:r>
      <w:r>
        <w:t xml:space="preserve">Anexo 1. Todo el texto se generó desde las tablas que produce el flujo:</w:t>
      </w:r>
      <w:r>
        <w:t xml:space="preserve"> </w:t>
      </w:r>
      <w:r>
        <w:t xml:space="preserve">ninguna cifra está escrita a mano y cada afirmación se apoya en un valor</w:t>
      </w:r>
      <w:r>
        <w:t xml:space="preserve"> </w:t>
      </w:r>
      <w:r>
        <w:t xml:space="preserve">calculado. Si una cifra es incorrecta, se corrige en el flujo y se</w:t>
      </w:r>
      <w:r>
        <w:t xml:space="preserve"> </w:t>
      </w:r>
      <w:r>
        <w:t xml:space="preserve">regenera el borrador; no se edita aquí.</w:t>
      </w:r>
    </w:p>
    <w:p>
      <w:pPr>
        <w:pStyle w:val="BlockText"/>
      </w:pPr>
      <w:r>
        <w:t xml:space="preserve">Las notas</w:t>
      </w:r>
      <w:r>
        <w:t xml:space="preserve"> </w:t>
      </w:r>
      <w:r>
        <w:rPr>
          <w:b/>
          <w:bCs/>
        </w:rPr>
        <w:t xml:space="preserve">Verificar con el equipo</w:t>
      </w:r>
      <w:r>
        <w:t xml:space="preserve"> </w:t>
      </w:r>
      <w:r>
        <w:t xml:space="preserve">marcan lo que el dato no puede</w:t>
      </w:r>
      <w:r>
        <w:t xml:space="preserve"> </w:t>
      </w:r>
      <w:r>
        <w:t xml:space="preserve">sostener por sí solo —causas, contexto institucional, información de</w:t>
      </w:r>
      <w:r>
        <w:t xml:space="preserve"> </w:t>
      </w:r>
      <w:r>
        <w:t xml:space="preserve">campo—. Están donde el informe querría afirmar algo que exige una fuente</w:t>
      </w:r>
      <w:r>
        <w:t xml:space="preserve"> </w:t>
      </w:r>
      <w:r>
        <w:t xml:space="preserve">que este flujo no tiene. Resolverlas es el trabajo que queda.</w:t>
      </w:r>
    </w:p>
    <w:p>
      <w:pPr>
        <w:pStyle w:val="BlockText"/>
      </w:pPr>
      <w:r>
        <w:t xml:space="preserve">Antes de dar una sección por terminada, pase la lista de verificación de</w:t>
      </w:r>
      <w:r>
        <w:t xml:space="preserve"> </w:t>
      </w:r>
      <w:r>
        <w:rPr>
          <w:rStyle w:val="VerbatimChar"/>
        </w:rPr>
        <w:t xml:space="preserve">04_Docs/plan_escritura_provincial.md</w:t>
      </w:r>
      <w:r>
        <w:t xml:space="preserve"> </w:t>
      </w:r>
      <w:r>
        <w:t xml:space="preserve">§7.</w:t>
      </w:r>
    </w:p>
    <w:bookmarkStart w:id="275" w:name="contexto-departamental-y-provincial"/>
    <w:p>
      <w:pPr>
        <w:pStyle w:val="Heading2"/>
      </w:pPr>
      <w:r>
        <w:t xml:space="preserve">Contexto departamental y provincial</w:t>
      </w:r>
    </w:p>
    <w:p>
      <w:pPr>
        <w:pStyle w:val="FirstParagraph"/>
      </w:pPr>
      <w:r>
        <w:t xml:space="preserve">La Provincia Administrativa y de Planificación Bioenergética del Norte de Antioquia está conformada por 13 municipios: 12 pertenecen a la subregión NORTE y Anorí a la subregión NORDESTE. Sobre una extensión de 7.550 km², la Provincia reúne una población proyectada de 175.488 habitantes para 2025, de los cuales el 54,5 % reside en zona rural.</w:t>
      </w:r>
    </w:p>
    <w:p>
      <w:pPr>
        <w:pStyle w:val="BodyText"/>
      </w:pPr>
      <w:r>
        <w:t xml:space="preserve">Los municipios que la integran son Angostura, Anorí, Briceño, Campamento, Carolina del Príncipe, Gómez Plata, Guadalupe, Ituango, San Andrés de Cuerquía, San José de la Montaña, Toledo, Valdivia y Yarumal.</w:t>
      </w:r>
    </w:p>
    <w:bookmarkStart w:id="18" w:name="X0b3815ba3a6e4e162ad3c1e56a7f9d585fdabc5"/>
    <w:p>
      <w:pPr>
        <w:pStyle w:val="Heading3"/>
      </w:pPr>
      <w:r>
        <w:t xml:space="preserve">Generalidades –contexto departamental y provincial-</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Generalidades</w:t>
            </w:r>
          </w:p>
        </w:tc>
      </w:tr>
      <w:tr>
        <w:tc>
          <w:tcPr/>
          <w:p>
            <w:pPr>
              <w:pStyle w:val="Compact"/>
              <w:jc w:val="left"/>
            </w:pPr>
            <w:r>
              <w:t xml:space="preserve">13 municipios · 7.550 km²</w:t>
            </w:r>
          </w:p>
        </w:tc>
      </w:tr>
      <w:tr>
        <w:tc>
          <w:tcPr/>
          <w:p>
            <w:pPr>
              <w:pStyle w:val="Compact"/>
              <w:jc w:val="left"/>
            </w:pPr>
            <w:r>
              <w:t xml:space="preserve">Población 2025: 175.488 hab. (54,5 % rural)</w:t>
            </w:r>
          </w:p>
        </w:tc>
      </w:tr>
    </w:tbl>
    <w:p>
      <w:pPr>
        <w:pStyle w:val="BodyText"/>
      </w:pPr>
      <w:r>
        <w:t xml:space="preserve">La Provincia Bioenergética del Norte de Antioquia se extiende sobre 7.550 km² distribuidos entre sus 13 municipios. La superficie está muy concentrada: Ituango y Anorí reúnen el 56 % del territorio provincial, mientras que Guadalupe (118 km²) y Toledo (123 km²) registran las menores extensiones. La razón entre el municipio más extenso y el más pequeño es de 24,0 a 1, una brecha muy amplia en términos de la escala a la que cada administración municipal debe operar.</w:t>
      </w:r>
    </w:p>
    <w:p>
      <w:pPr>
        <w:pStyle w:val="BodyText"/>
      </w:pPr>
      <w:r>
        <w:t xml:space="preserve">Esa desigualdad de tamaño no es un dato administrativo menor. Un municipio como Ituango, con 2.841 km², tiene que llevar servicios a un territorio 24 veces mayor que Guadalupe con una estructura institucional que la categorización municipal no diferencia en la misma proporción. La distancia entre cabeceras, el costo de la red terciaria y el alcance real de cualquier intervención supramunicipal dependen de esta geometría, y conviene tenerla presente al dimensionar las apuestas del Plan.</w:t>
      </w:r>
    </w:p>
    <w:p>
      <w:pPr>
        <w:pStyle w:val="BodyText"/>
      </w:pPr>
      <w:r>
        <w:t xml:space="preserve">En el contexto departamental, la Provincia representa el 12,0 % de la superficie de Antioquia.</w:t>
      </w:r>
    </w:p>
    <w:p>
      <w:pPr>
        <w:pStyle w:val="BlockText"/>
      </w:pPr>
      <w:r>
        <w:rPr>
          <w:b/>
          <w:bCs/>
        </w:rPr>
        <w:t xml:space="preserve">Verificar con el equipo</w:t>
      </w:r>
      <w:r>
        <w:t xml:space="preserve"> </w:t>
      </w:r>
      <w:r>
        <w:t xml:space="preserve">— qué articula internamente a esta Provincia más allá de la contigüidad —corredores viales, cuencas, relaciones funcionales— y cómo se enuncian los Hechos Provinciales en la versión preliminar del Plan. El dato territorial describe la forma, no la razón de ser del esquema asociativo.</w:t>
      </w:r>
    </w:p>
    <w:p>
      <w:pPr>
        <w:pStyle w:val="FirstParagraph"/>
      </w:pPr>
      <w:r>
        <w:rPr>
          <w:b/>
          <w:bCs/>
        </w:rPr>
        <w:t xml:space="preserve">Tabla 1.</w:t>
      </w:r>
      <w:r>
        <w:t xml:space="preserve"> </w:t>
      </w:r>
      <w:r>
        <w:t xml:space="preserve">Extensión territorial de los municipios de la Provincia Bioenergética del Norte de Antioquia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Área municipal (km²)</w:t>
            </w:r>
          </w:p>
        </w:tc>
        <w:tc>
          <w:tcPr/>
          <w:p>
            <w:pPr>
              <w:pStyle w:val="Compact"/>
            </w:pPr>
            <w:r>
              <w:t xml:space="preserve">Participación en el área provincial</w:t>
            </w:r>
          </w:p>
        </w:tc>
      </w:tr>
      <w:tr>
        <w:tc>
          <w:tcPr/>
          <w:p>
            <w:pPr>
              <w:pStyle w:val="Compact"/>
            </w:pPr>
            <w:r>
              <w:t xml:space="preserve">Ituango</w:t>
            </w:r>
          </w:p>
        </w:tc>
        <w:tc>
          <w:tcPr/>
          <w:p>
            <w:pPr>
              <w:pStyle w:val="Compact"/>
            </w:pPr>
            <w:r>
              <w:t xml:space="preserve">2.841,12</w:t>
            </w:r>
          </w:p>
        </w:tc>
        <w:tc>
          <w:tcPr/>
          <w:p>
            <w:pPr>
              <w:pStyle w:val="Compact"/>
            </w:pPr>
            <w:r>
              <w:t xml:space="preserve">37,6 %</w:t>
            </w:r>
          </w:p>
        </w:tc>
      </w:tr>
      <w:tr>
        <w:tc>
          <w:tcPr/>
          <w:p>
            <w:pPr>
              <w:pStyle w:val="Compact"/>
            </w:pPr>
            <w:r>
              <w:t xml:space="preserve">Anorí</w:t>
            </w:r>
          </w:p>
        </w:tc>
        <w:tc>
          <w:tcPr/>
          <w:p>
            <w:pPr>
              <w:pStyle w:val="Compact"/>
            </w:pPr>
            <w:r>
              <w:t xml:space="preserve">1.413,78</w:t>
            </w:r>
          </w:p>
        </w:tc>
        <w:tc>
          <w:tcPr/>
          <w:p>
            <w:pPr>
              <w:pStyle w:val="Compact"/>
            </w:pPr>
            <w:r>
              <w:t xml:space="preserve">18,7 %</w:t>
            </w:r>
          </w:p>
        </w:tc>
      </w:tr>
      <w:tr>
        <w:tc>
          <w:tcPr/>
          <w:p>
            <w:pPr>
              <w:pStyle w:val="Compact"/>
            </w:pPr>
            <w:r>
              <w:t xml:space="preserve">Yarumal</w:t>
            </w:r>
          </w:p>
        </w:tc>
        <w:tc>
          <w:tcPr/>
          <w:p>
            <w:pPr>
              <w:pStyle w:val="Compact"/>
            </w:pPr>
            <w:r>
              <w:t xml:space="preserve">738,26</w:t>
            </w:r>
          </w:p>
        </w:tc>
        <w:tc>
          <w:tcPr/>
          <w:p>
            <w:pPr>
              <w:pStyle w:val="Compact"/>
            </w:pPr>
            <w:r>
              <w:t xml:space="preserve">9,8 %</w:t>
            </w:r>
          </w:p>
        </w:tc>
      </w:tr>
      <w:tr>
        <w:tc>
          <w:tcPr/>
          <w:p>
            <w:pPr>
              <w:pStyle w:val="Compact"/>
            </w:pPr>
            <w:r>
              <w:t xml:space="preserve">Valdivia</w:t>
            </w:r>
          </w:p>
        </w:tc>
        <w:tc>
          <w:tcPr/>
          <w:p>
            <w:pPr>
              <w:pStyle w:val="Compact"/>
            </w:pPr>
            <w:r>
              <w:t xml:space="preserve">567,70</w:t>
            </w:r>
          </w:p>
        </w:tc>
        <w:tc>
          <w:tcPr/>
          <w:p>
            <w:pPr>
              <w:pStyle w:val="Compact"/>
            </w:pPr>
            <w:r>
              <w:t xml:space="preserve">7,5 %</w:t>
            </w:r>
          </w:p>
        </w:tc>
      </w:tr>
      <w:tr>
        <w:tc>
          <w:tcPr/>
          <w:p>
            <w:pPr>
              <w:pStyle w:val="Compact"/>
            </w:pPr>
            <w:r>
              <w:t xml:space="preserve">Briceño</w:t>
            </w:r>
          </w:p>
        </w:tc>
        <w:tc>
          <w:tcPr/>
          <w:p>
            <w:pPr>
              <w:pStyle w:val="Compact"/>
            </w:pPr>
            <w:r>
              <w:t xml:space="preserve">376,35</w:t>
            </w:r>
          </w:p>
        </w:tc>
        <w:tc>
          <w:tcPr/>
          <w:p>
            <w:pPr>
              <w:pStyle w:val="Compact"/>
            </w:pPr>
            <w:r>
              <w:t xml:space="preserve">5,0 %</w:t>
            </w:r>
          </w:p>
        </w:tc>
      </w:tr>
      <w:tr>
        <w:tc>
          <w:tcPr/>
          <w:p>
            <w:pPr>
              <w:pStyle w:val="Compact"/>
            </w:pPr>
            <w:r>
              <w:t xml:space="preserve">Angostura</w:t>
            </w:r>
          </w:p>
        </w:tc>
        <w:tc>
          <w:tcPr/>
          <w:p>
            <w:pPr>
              <w:pStyle w:val="Compact"/>
            </w:pPr>
            <w:r>
              <w:t xml:space="preserve">338,67</w:t>
            </w:r>
          </w:p>
        </w:tc>
        <w:tc>
          <w:tcPr/>
          <w:p>
            <w:pPr>
              <w:pStyle w:val="Compact"/>
            </w:pPr>
            <w:r>
              <w:t xml:space="preserve">4,5 %</w:t>
            </w:r>
          </w:p>
        </w:tc>
      </w:tr>
      <w:tr>
        <w:tc>
          <w:tcPr/>
          <w:p>
            <w:pPr>
              <w:pStyle w:val="Compact"/>
            </w:pPr>
            <w:r>
              <w:t xml:space="preserve">Gómez Plata</w:t>
            </w:r>
          </w:p>
        </w:tc>
        <w:tc>
          <w:tcPr/>
          <w:p>
            <w:pPr>
              <w:pStyle w:val="Compact"/>
            </w:pPr>
            <w:r>
              <w:t xml:space="preserve">332,20</w:t>
            </w:r>
          </w:p>
        </w:tc>
        <w:tc>
          <w:tcPr/>
          <w:p>
            <w:pPr>
              <w:pStyle w:val="Compact"/>
            </w:pPr>
            <w:r>
              <w:t xml:space="preserve">4,4 %</w:t>
            </w:r>
          </w:p>
        </w:tc>
      </w:tr>
      <w:tr>
        <w:tc>
          <w:tcPr/>
          <w:p>
            <w:pPr>
              <w:pStyle w:val="Compact"/>
            </w:pPr>
            <w:r>
              <w:t xml:space="preserve">San Andrés de Cuerquía</w:t>
            </w:r>
          </w:p>
        </w:tc>
        <w:tc>
          <w:tcPr/>
          <w:p>
            <w:pPr>
              <w:pStyle w:val="Compact"/>
            </w:pPr>
            <w:r>
              <w:t xml:space="preserve">218,73</w:t>
            </w:r>
          </w:p>
        </w:tc>
        <w:tc>
          <w:tcPr/>
          <w:p>
            <w:pPr>
              <w:pStyle w:val="Compact"/>
            </w:pPr>
            <w:r>
              <w:t xml:space="preserve">2,9 %</w:t>
            </w:r>
          </w:p>
        </w:tc>
      </w:tr>
      <w:tr>
        <w:tc>
          <w:tcPr/>
          <w:p>
            <w:pPr>
              <w:pStyle w:val="Compact"/>
            </w:pPr>
            <w:r>
              <w:t xml:space="preserve">Campamento</w:t>
            </w:r>
          </w:p>
        </w:tc>
        <w:tc>
          <w:tcPr/>
          <w:p>
            <w:pPr>
              <w:pStyle w:val="Compact"/>
            </w:pPr>
            <w:r>
              <w:t xml:space="preserve">206,34</w:t>
            </w:r>
          </w:p>
        </w:tc>
        <w:tc>
          <w:tcPr/>
          <w:p>
            <w:pPr>
              <w:pStyle w:val="Compact"/>
            </w:pPr>
            <w:r>
              <w:t xml:space="preserve">2,7 %</w:t>
            </w:r>
          </w:p>
        </w:tc>
      </w:tr>
      <w:tr>
        <w:tc>
          <w:tcPr/>
          <w:p>
            <w:pPr>
              <w:pStyle w:val="Compact"/>
            </w:pPr>
            <w:r>
              <w:t xml:space="preserve">Carolina del Príncipe</w:t>
            </w:r>
          </w:p>
        </w:tc>
        <w:tc>
          <w:tcPr/>
          <w:p>
            <w:pPr>
              <w:pStyle w:val="Compact"/>
            </w:pPr>
            <w:r>
              <w:t xml:space="preserve">149,58</w:t>
            </w:r>
          </w:p>
        </w:tc>
        <w:tc>
          <w:tcPr/>
          <w:p>
            <w:pPr>
              <w:pStyle w:val="Compact"/>
            </w:pPr>
            <w:r>
              <w:t xml:space="preserve">2,0 %</w:t>
            </w:r>
          </w:p>
        </w:tc>
      </w:tr>
      <w:tr>
        <w:tc>
          <w:tcPr/>
          <w:p>
            <w:pPr>
              <w:pStyle w:val="Compact"/>
            </w:pPr>
            <w:r>
              <w:t xml:space="preserve">San José de la Montaña</w:t>
            </w:r>
          </w:p>
        </w:tc>
        <w:tc>
          <w:tcPr/>
          <w:p>
            <w:pPr>
              <w:pStyle w:val="Compact"/>
            </w:pPr>
            <w:r>
              <w:t xml:space="preserve">126,07</w:t>
            </w:r>
          </w:p>
        </w:tc>
        <w:tc>
          <w:tcPr/>
          <w:p>
            <w:pPr>
              <w:pStyle w:val="Compact"/>
            </w:pPr>
            <w:r>
              <w:t xml:space="preserve">1,7 %</w:t>
            </w:r>
          </w:p>
        </w:tc>
      </w:tr>
      <w:tr>
        <w:tc>
          <w:tcPr/>
          <w:p>
            <w:pPr>
              <w:pStyle w:val="Compact"/>
            </w:pPr>
            <w:r>
              <w:t xml:space="preserve">Toledo</w:t>
            </w:r>
          </w:p>
        </w:tc>
        <w:tc>
          <w:tcPr/>
          <w:p>
            <w:pPr>
              <w:pStyle w:val="Compact"/>
            </w:pPr>
            <w:r>
              <w:t xml:space="preserve">122,58</w:t>
            </w:r>
          </w:p>
        </w:tc>
        <w:tc>
          <w:tcPr/>
          <w:p>
            <w:pPr>
              <w:pStyle w:val="Compact"/>
            </w:pPr>
            <w:r>
              <w:t xml:space="preserve">1,6 %</w:t>
            </w:r>
          </w:p>
        </w:tc>
      </w:tr>
      <w:tr>
        <w:tc>
          <w:tcPr/>
          <w:p>
            <w:pPr>
              <w:pStyle w:val="Compact"/>
            </w:pPr>
            <w:r>
              <w:t xml:space="preserve">Guadalupe</w:t>
            </w:r>
          </w:p>
        </w:tc>
        <w:tc>
          <w:tcPr/>
          <w:p>
            <w:pPr>
              <w:pStyle w:val="Compact"/>
            </w:pPr>
            <w:r>
              <w:t xml:space="preserve">118,21</w:t>
            </w:r>
          </w:p>
        </w:tc>
        <w:tc>
          <w:tcPr/>
          <w:p>
            <w:pPr>
              <w:pStyle w:val="Compact"/>
            </w:pPr>
            <w:r>
              <w:t xml:space="preserve">1,6 %</w:t>
            </w:r>
          </w:p>
        </w:tc>
      </w:tr>
      <w:tr>
        <w:tc>
          <w:tcPr/>
          <w:p>
            <w:pPr>
              <w:pStyle w:val="Compact"/>
            </w:pPr>
            <w:r>
              <w:t xml:space="preserve">TOTAL PROVINCIA BIOENERGÉTICA DEL NORTE DE ANTIOQUIA</w:t>
            </w:r>
          </w:p>
        </w:tc>
        <w:tc>
          <w:tcPr/>
          <w:p>
            <w:pPr>
              <w:pStyle w:val="Compact"/>
            </w:pPr>
            <w:r>
              <w:t xml:space="preserve">7.549,58</w:t>
            </w:r>
          </w:p>
        </w:tc>
        <w:tc>
          <w:tcPr/>
          <w:p>
            <w:pPr>
              <w:pStyle w:val="Compact"/>
            </w:pPr>
            <w:r>
              <w:t xml:space="preserve">100,0 %</w:t>
            </w:r>
          </w:p>
        </w:tc>
      </w:tr>
      <w:tr>
        <w:tc>
          <w:tcPr/>
          <w:p>
            <w:pPr>
              <w:pStyle w:val="Compact"/>
            </w:pPr>
            <w:r>
              <w:t xml:space="preserve">TOTAL SUBREGIÓN NORTE</w:t>
            </w:r>
          </w:p>
        </w:tc>
        <w:tc>
          <w:tcPr/>
          <w:p>
            <w:pPr>
              <w:pStyle w:val="Compact"/>
            </w:pPr>
            <w:r>
              <w:t xml:space="preserve">7.935,21</w:t>
            </w:r>
          </w:p>
        </w:tc>
        <w:tc>
          <w:tcPr/>
          <w:p>
            <w:pPr>
              <w:pStyle w:val="Compact"/>
            </w:pPr>
            <w:r>
              <w:t xml:space="preserve">—</w:t>
            </w:r>
          </w:p>
        </w:tc>
      </w:tr>
      <w:tr>
        <w:tc>
          <w:tcPr/>
          <w:p>
            <w:pPr>
              <w:pStyle w:val="Compact"/>
            </w:pPr>
            <w:r>
              <w:t xml:space="preserve">TOTAL DEPARTAMENTO (ANTIOQUIA)</w:t>
            </w:r>
          </w:p>
        </w:tc>
        <w:tc>
          <w:tcPr/>
          <w:p>
            <w:pPr>
              <w:pStyle w:val="Compact"/>
            </w:pPr>
            <w:r>
              <w:t xml:space="preserve">62.804,71</w:t>
            </w:r>
          </w:p>
        </w:tc>
        <w:tc>
          <w:tcPr/>
          <w:p>
            <w:pPr>
              <w:pStyle w:val="Compact"/>
            </w:pPr>
            <w:r>
              <w:t xml:space="preserve">—</w:t>
            </w:r>
          </w:p>
        </w:tc>
      </w:tr>
    </w:tbl>
    <w:p>
      <w:pPr>
        <w:pStyle w:val="BodyText"/>
      </w:pPr>
      <w:r>
        <w:rPr>
          <w:i/>
          <w:iCs/>
        </w:rPr>
        <w:t xml:space="preserve">Fuente: Gobernación de Antioquia, Anuario Estadístico. Cálculos propios.</w:t>
      </w:r>
    </w:p>
    <w:p>
      <w:pPr>
        <w:pStyle w:val="CaptionedFigure"/>
      </w:pPr>
      <w:r>
        <w:drawing>
          <wp:inline>
            <wp:extent cx="5600700" cy="3851407"/>
            <wp:effectExtent b="0" l="0" r="0" t="0"/>
            <wp:docPr descr="1. Localización" title="" id="10" name="Picture"/>
            <a:graphic>
              <a:graphicData uri="http://schemas.openxmlformats.org/drawingml/2006/picture">
                <pic:pic>
                  <pic:nvPicPr>
                    <pic:cNvPr descr="03_Outputs/Bioenergetica_Norte/01_Generalidades/figuras/mapa_00_localizacion.png" id="11" name="Picture"/>
                    <pic:cNvPicPr>
                      <a:picLocks noChangeArrowheads="1" noChangeAspect="1"/>
                    </pic:cNvPicPr>
                  </pic:nvPicPr>
                  <pic:blipFill>
                    <a:blip r:embed="rId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1. Localización</w:t>
      </w:r>
    </w:p>
    <w:p>
      <w:pPr>
        <w:pStyle w:val="CaptionedFigure"/>
      </w:pPr>
      <w:r>
        <w:drawing>
          <wp:inline>
            <wp:extent cx="5600700" cy="3851407"/>
            <wp:effectExtent b="0" l="0" r="0" t="0"/>
            <wp:docPr descr="2. Área" title="" id="13" name="Picture"/>
            <a:graphic>
              <a:graphicData uri="http://schemas.openxmlformats.org/drawingml/2006/picture">
                <pic:pic>
                  <pic:nvPicPr>
                    <pic:cNvPr descr="03_Outputs/Bioenergetica_Norte/01_Generalidades/figuras/mapa_01_area.png" id="14" name="Picture"/>
                    <pic:cNvPicPr>
                      <a:picLocks noChangeArrowheads="1" noChangeAspect="1"/>
                    </pic:cNvPicPr>
                  </pic:nvPicPr>
                  <pic:blipFill>
                    <a:blip r:embed="rId12"/>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2. Área</w:t>
      </w:r>
    </w:p>
    <w:p>
      <w:pPr>
        <w:pStyle w:val="CaptionedFigure"/>
      </w:pPr>
      <w:r>
        <w:drawing>
          <wp:inline>
            <wp:extent cx="5600700" cy="3901811"/>
            <wp:effectExtent b="0" l="0" r="0" t="0"/>
            <wp:docPr descr="3. Distribución territorial" title="" id="16" name="Picture"/>
            <a:graphic>
              <a:graphicData uri="http://schemas.openxmlformats.org/drawingml/2006/picture">
                <pic:pic>
                  <pic:nvPicPr>
                    <pic:cNvPr descr="03_Outputs/Bioenergetica_Norte/01_Generalidades/figuras/fig_01_distribucion_territorial.png" id="17" name="Picture"/>
                    <pic:cNvPicPr>
                      <a:picLocks noChangeArrowheads="1" noChangeAspect="1"/>
                    </pic:cNvPicPr>
                  </pic:nvPicPr>
                  <pic:blipFill>
                    <a:blip r:embed="rId15"/>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 Distribución territorial</w:t>
      </w:r>
    </w:p>
    <w:bookmarkEnd w:id="18"/>
    <w:bookmarkStart w:id="37" w:name="demografía"/>
    <w:p>
      <w:pPr>
        <w:pStyle w:val="Heading3"/>
      </w:pPr>
      <w:r>
        <w:t xml:space="preserve">Demografía</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Demografía</w:t>
            </w:r>
          </w:p>
        </w:tc>
      </w:tr>
      <w:tr>
        <w:tc>
          <w:tcPr/>
          <w:p>
            <w:pPr>
              <w:pStyle w:val="Compact"/>
              <w:jc w:val="left"/>
            </w:pPr>
            <w:r>
              <w:t xml:space="preserve">Población total de la provincia: 175.488 hab.</w:t>
            </w:r>
          </w:p>
        </w:tc>
      </w:tr>
      <w:tr>
        <w:tc>
          <w:tcPr/>
          <w:p>
            <w:pPr>
              <w:pStyle w:val="Compact"/>
              <w:jc w:val="left"/>
            </w:pPr>
            <w:r>
              <w:t xml:space="preserve">Mayor densidad poblacional: Guadalupe (59,3)</w:t>
            </w:r>
          </w:p>
        </w:tc>
      </w:tr>
    </w:tbl>
    <w:p>
      <w:pPr>
        <w:pStyle w:val="BodyText"/>
      </w:pPr>
      <w:r>
        <w:t xml:space="preserve">La Provincia Bioenergética del Norte de Antioquia reúne una población proyectada de 175.488 habitantes para 2025, repartida de forma desigual entre sus 13 municipios. La distribución está concentrada: Yarumal e Ituango concentran el 41 % del total provincial, mientras que Carolina del Príncipe (3.942 hab.), San José de la Montaña (4.017 hab.) y Toledo (4.824 hab.) registran los menores tamaños. Solo 4 de los 13 municipios superan el promedio provincial de 13.499 habitantes, lo que indica que la media no describe al municipio típico de la Provincia.</w:t>
      </w:r>
    </w:p>
    <w:p>
      <w:pPr>
        <w:pStyle w:val="BodyText"/>
      </w:pPr>
      <w:r>
        <w:t xml:space="preserve">En su composición, la Provincia es de equilibrio urbano-rural: el 54,5 % de sus habitantes reside en centros poblados y rural disperso. Esa proporción condiciona todo lo que viene después en este diagnóstico —el costo de la cobertura educativa y de salud, la dependencia de la red terciaria, la informalidad laboral— y es el rasgo que más distingue a un territorio como este de la lógica urbana con que suelen diseñarse los instrumentos de planificación.</w:t>
      </w:r>
    </w:p>
    <w:p>
      <w:pPr>
        <w:pStyle w:val="BodyText"/>
      </w:pPr>
      <w:r>
        <w:t xml:space="preserve">La densidad poblacional confirma el patrón de ocupación. Guadalupe (59,3) y Yarumal (56,7) registran las densidades más altas y Ituango (10,4) y Anorí (14,9) las más bajas, todas en habitantes por km². La razón entre el extremo alto y el bajo es de 5,7 a 1: dentro de una misma Provincia conviven realidades de poblamiento que exigen respuestas distintas. La densidad provincial en conjunto es de 23,2 hab/km². En el mapa, los 3 municipios con los valores más altos forman una mancha contigua.</w:t>
      </w:r>
    </w:p>
    <w:p>
      <w:pPr>
        <w:pStyle w:val="BodyText"/>
      </w:pPr>
      <w:r>
        <w:t xml:space="preserve">La estructura por edad da la medida de esa transición. Los menores de veinte años representan el 32,0 % de la población provincial y los mayores de sesenta el 14,5 %; el grupo más numeroso es el de 10 a 19. La razón de masculinidad es de 108,0 hombres por cada cien mujeres. Una pirámide con la base estrechándose y la cúspide ensanchándose anticipa, en el horizonte del Plan, menos demanda escolar y más demanda de servicios de salud y de cuidado.</w:t>
      </w:r>
    </w:p>
    <w:p>
      <w:pPr>
        <w:pStyle w:val="BodyText"/>
      </w:pPr>
      <w:r>
        <w:t xml:space="preserve">El Índice de Dependencia Económica resume las dos puntas de la pirámide: cuántas personas en edades dependientes —menores de quince y mayores de sesenta y cuatro— hay por cada cien en edad de trabajar. En la Provincia es de 51,8, y alcanza sus valores más altos en Campamento (59,6) y San Andrés de Cuerquía (58,6), por encima del departamento (44,7), con una diferencia de 16 %. Es la cifra que traduce la estructura demográfica en carga efectiva sobre la población productiva.</w:t>
      </w:r>
    </w:p>
    <w:p>
      <w:pPr>
        <w:pStyle w:val="BodyText"/>
      </w:pPr>
      <w:r>
        <w:t xml:space="preserve">La dinámica vital muestra una Provincia que envejece. Carolina del Príncipe (44,6), Gómez Plata (36,5) y Guadalupe (28,1) presentan los índices de envejecimiento más altos —adultos mayores por cada cien menores de quince años—. La Provincia registra un índice de 23,9, en un nivel prácticamente igual al de la subregión (24,6), y por debajo del departamento (31,7), con una diferencia de 25 %.</w:t>
      </w:r>
    </w:p>
    <w:p>
      <w:pPr>
        <w:pStyle w:val="BodyText"/>
      </w:pPr>
      <w:r>
        <w:t xml:space="preserve">La natalidad, de 7,61 nacimientos por cada mil habitantes, se sitúa por debajo del departamento (8,64), con una diferencia de 12 %. Un territorio que envejece y con natalidad contenida tiene una ventana de planificación distinta: la presión se desplaza de la infraestructura educativa hacia los servicios de salud y cuidado, y el relevo generacional de la actividad productiva rural deja de estar garantizado.</w:t>
      </w:r>
    </w:p>
    <w:p>
      <w:pPr>
        <w:pStyle w:val="BodyText"/>
      </w:pPr>
      <w:r>
        <w:t xml:space="preserve">La tasa neta de migración de la ECV 2023 va de 0,00 a 2,51 entre los municipios de la Provincia, con los valores más altos en Campamento (2,51) y Yarumal (2,46). Conviene notar que en esta fuente el indicador no toma valores negativos en ningún municipio: no puede leerse, por tanto, como un saldo entre quienes llegan y quienes se van, y no sostiene por sí solo una afirmación sobre expulsión de población.</w:t>
      </w:r>
    </w:p>
    <w:p>
      <w:pPr>
        <w:pStyle w:val="BlockText"/>
      </w:pPr>
      <w:r>
        <w:rPr>
          <w:b/>
          <w:bCs/>
        </w:rPr>
        <w:t xml:space="preserve">Verificar con el equipo</w:t>
      </w:r>
      <w:r>
        <w:t xml:space="preserve"> </w:t>
      </w:r>
      <w:r>
        <w:t xml:space="preserve">— la definición exacta de la «tasa neta de migración» en la ECV 2023 —si mide inmigración, emigración o saldo— y, con ella, hacia dónde se dirige la población que sale de la Provincia.</w:t>
      </w:r>
    </w:p>
    <w:p>
      <w:pPr>
        <w:pStyle w:val="FirstParagraph"/>
      </w:pPr>
      <w:r>
        <w:rPr>
          <w:b/>
          <w:bCs/>
        </w:rPr>
        <w:t xml:space="preserve">Tabla 2.</w:t>
      </w:r>
      <w:r>
        <w:t xml:space="preserve"> </w:t>
      </w:r>
      <w:r>
        <w:t xml:space="preserve">Proyecciones de población 2025 en la Provincia Bioenergética del Norte de Antioquia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Municipio</w:t>
            </w:r>
          </w:p>
        </w:tc>
        <w:tc>
          <w:tcPr/>
          <w:p>
            <w:pPr>
              <w:pStyle w:val="Compact"/>
            </w:pPr>
            <w:r>
              <w:t xml:space="preserve">Población total</w:t>
            </w:r>
          </w:p>
        </w:tc>
        <w:tc>
          <w:tcPr/>
          <w:p>
            <w:pPr>
              <w:pStyle w:val="Compact"/>
            </w:pPr>
            <w:r>
              <w:t xml:space="preserve">Población urbana</w:t>
            </w:r>
          </w:p>
        </w:tc>
        <w:tc>
          <w:tcPr/>
          <w:p>
            <w:pPr>
              <w:pStyle w:val="Compact"/>
            </w:pPr>
            <w:r>
              <w:t xml:space="preserve">Población rural</w:t>
            </w:r>
          </w:p>
        </w:tc>
        <w:tc>
          <w:tcPr/>
          <w:p>
            <w:pPr>
              <w:pStyle w:val="Compact"/>
            </w:pPr>
            <w:r>
              <w:t xml:space="preserve">Densidad poblacional (hab/km²)</w:t>
            </w:r>
          </w:p>
        </w:tc>
      </w:tr>
      <w:tr>
        <w:tc>
          <w:tcPr/>
          <w:p>
            <w:pPr>
              <w:pStyle w:val="Compact"/>
            </w:pPr>
            <w:r>
              <w:t xml:space="preserve">Angostura</w:t>
            </w:r>
          </w:p>
        </w:tc>
        <w:tc>
          <w:tcPr/>
          <w:p>
            <w:pPr>
              <w:pStyle w:val="Compact"/>
            </w:pPr>
            <w:r>
              <w:t xml:space="preserve">12.511</w:t>
            </w:r>
          </w:p>
        </w:tc>
        <w:tc>
          <w:tcPr/>
          <w:p>
            <w:pPr>
              <w:pStyle w:val="Compact"/>
            </w:pPr>
            <w:r>
              <w:t xml:space="preserve">3.144</w:t>
            </w:r>
          </w:p>
        </w:tc>
        <w:tc>
          <w:tcPr/>
          <w:p>
            <w:pPr>
              <w:pStyle w:val="Compact"/>
            </w:pPr>
            <w:r>
              <w:t xml:space="preserve">9.367</w:t>
            </w:r>
          </w:p>
        </w:tc>
        <w:tc>
          <w:tcPr/>
          <w:p>
            <w:pPr>
              <w:pStyle w:val="Compact"/>
            </w:pPr>
            <w:r>
              <w:t xml:space="preserve">36,94</w:t>
            </w:r>
          </w:p>
        </w:tc>
      </w:tr>
      <w:tr>
        <w:tc>
          <w:tcPr/>
          <w:p>
            <w:pPr>
              <w:pStyle w:val="Compact"/>
            </w:pPr>
            <w:r>
              <w:t xml:space="preserve">Anorí</w:t>
            </w:r>
          </w:p>
        </w:tc>
        <w:tc>
          <w:tcPr/>
          <w:p>
            <w:pPr>
              <w:pStyle w:val="Compact"/>
            </w:pPr>
            <w:r>
              <w:t xml:space="preserve">21.035</w:t>
            </w:r>
          </w:p>
        </w:tc>
        <w:tc>
          <w:tcPr/>
          <w:p>
            <w:pPr>
              <w:pStyle w:val="Compact"/>
            </w:pPr>
            <w:r>
              <w:t xml:space="preserve">9.307</w:t>
            </w:r>
          </w:p>
        </w:tc>
        <w:tc>
          <w:tcPr/>
          <w:p>
            <w:pPr>
              <w:pStyle w:val="Compact"/>
            </w:pPr>
            <w:r>
              <w:t xml:space="preserve">11.728</w:t>
            </w:r>
          </w:p>
        </w:tc>
        <w:tc>
          <w:tcPr/>
          <w:p>
            <w:pPr>
              <w:pStyle w:val="Compact"/>
            </w:pPr>
            <w:r>
              <w:t xml:space="preserve">14,88</w:t>
            </w:r>
          </w:p>
        </w:tc>
      </w:tr>
      <w:tr>
        <w:tc>
          <w:tcPr/>
          <w:p>
            <w:pPr>
              <w:pStyle w:val="Compact"/>
            </w:pPr>
            <w:r>
              <w:t xml:space="preserve">Briceño</w:t>
            </w:r>
          </w:p>
        </w:tc>
        <w:tc>
          <w:tcPr/>
          <w:p>
            <w:pPr>
              <w:pStyle w:val="Compact"/>
            </w:pPr>
            <w:r>
              <w:t xml:space="preserve">7.957</w:t>
            </w:r>
          </w:p>
        </w:tc>
        <w:tc>
          <w:tcPr/>
          <w:p>
            <w:pPr>
              <w:pStyle w:val="Compact"/>
            </w:pPr>
            <w:r>
              <w:t xml:space="preserve">2.808</w:t>
            </w:r>
          </w:p>
        </w:tc>
        <w:tc>
          <w:tcPr/>
          <w:p>
            <w:pPr>
              <w:pStyle w:val="Compact"/>
            </w:pPr>
            <w:r>
              <w:t xml:space="preserve">5.149</w:t>
            </w:r>
          </w:p>
        </w:tc>
        <w:tc>
          <w:tcPr/>
          <w:p>
            <w:pPr>
              <w:pStyle w:val="Compact"/>
            </w:pPr>
            <w:r>
              <w:t xml:space="preserve">21,14</w:t>
            </w:r>
          </w:p>
        </w:tc>
      </w:tr>
      <w:tr>
        <w:tc>
          <w:tcPr/>
          <w:p>
            <w:pPr>
              <w:pStyle w:val="Compact"/>
            </w:pPr>
            <w:r>
              <w:t xml:space="preserve">Campamento</w:t>
            </w:r>
          </w:p>
        </w:tc>
        <w:tc>
          <w:tcPr/>
          <w:p>
            <w:pPr>
              <w:pStyle w:val="Compact"/>
            </w:pPr>
            <w:r>
              <w:t xml:space="preserve">10.005</w:t>
            </w:r>
          </w:p>
        </w:tc>
        <w:tc>
          <w:tcPr/>
          <w:p>
            <w:pPr>
              <w:pStyle w:val="Compact"/>
            </w:pPr>
            <w:r>
              <w:t xml:space="preserve">3.029</w:t>
            </w:r>
          </w:p>
        </w:tc>
        <w:tc>
          <w:tcPr/>
          <w:p>
            <w:pPr>
              <w:pStyle w:val="Compact"/>
            </w:pPr>
            <w:r>
              <w:t xml:space="preserve">6.976</w:t>
            </w:r>
          </w:p>
        </w:tc>
        <w:tc>
          <w:tcPr/>
          <w:p>
            <w:pPr>
              <w:pStyle w:val="Compact"/>
            </w:pPr>
            <w:r>
              <w:t xml:space="preserve">48,49</w:t>
            </w:r>
          </w:p>
        </w:tc>
      </w:tr>
      <w:tr>
        <w:tc>
          <w:tcPr/>
          <w:p>
            <w:pPr>
              <w:pStyle w:val="Compact"/>
            </w:pPr>
            <w:r>
              <w:t xml:space="preserve">Carolina del Príncipe</w:t>
            </w:r>
          </w:p>
        </w:tc>
        <w:tc>
          <w:tcPr/>
          <w:p>
            <w:pPr>
              <w:pStyle w:val="Compact"/>
            </w:pPr>
            <w:r>
              <w:t xml:space="preserve">3.942</w:t>
            </w:r>
          </w:p>
        </w:tc>
        <w:tc>
          <w:tcPr/>
          <w:p>
            <w:pPr>
              <w:pStyle w:val="Compact"/>
            </w:pPr>
            <w:r>
              <w:t xml:space="preserve">2.988</w:t>
            </w:r>
          </w:p>
        </w:tc>
        <w:tc>
          <w:tcPr/>
          <w:p>
            <w:pPr>
              <w:pStyle w:val="Compact"/>
            </w:pPr>
            <w:r>
              <w:t xml:space="preserve">954</w:t>
            </w:r>
          </w:p>
        </w:tc>
        <w:tc>
          <w:tcPr/>
          <w:p>
            <w:pPr>
              <w:pStyle w:val="Compact"/>
            </w:pPr>
            <w:r>
              <w:t xml:space="preserve">26,35</w:t>
            </w:r>
          </w:p>
        </w:tc>
      </w:tr>
      <w:tr>
        <w:tc>
          <w:tcPr/>
          <w:p>
            <w:pPr>
              <w:pStyle w:val="Compact"/>
            </w:pPr>
            <w:r>
              <w:t xml:space="preserve">Gómez Plata</w:t>
            </w:r>
          </w:p>
        </w:tc>
        <w:tc>
          <w:tcPr/>
          <w:p>
            <w:pPr>
              <w:pStyle w:val="Compact"/>
            </w:pPr>
            <w:r>
              <w:t xml:space="preserve">10.373</w:t>
            </w:r>
          </w:p>
        </w:tc>
        <w:tc>
          <w:tcPr/>
          <w:p>
            <w:pPr>
              <w:pStyle w:val="Compact"/>
            </w:pPr>
            <w:r>
              <w:t xml:space="preserve">5.578</w:t>
            </w:r>
          </w:p>
        </w:tc>
        <w:tc>
          <w:tcPr/>
          <w:p>
            <w:pPr>
              <w:pStyle w:val="Compact"/>
            </w:pPr>
            <w:r>
              <w:t xml:space="preserve">4.795</w:t>
            </w:r>
          </w:p>
        </w:tc>
        <w:tc>
          <w:tcPr/>
          <w:p>
            <w:pPr>
              <w:pStyle w:val="Compact"/>
            </w:pPr>
            <w:r>
              <w:t xml:space="preserve">31,22</w:t>
            </w:r>
          </w:p>
        </w:tc>
      </w:tr>
      <w:tr>
        <w:tc>
          <w:tcPr/>
          <w:p>
            <w:pPr>
              <w:pStyle w:val="Compact"/>
            </w:pPr>
            <w:r>
              <w:t xml:space="preserve">Guadalupe</w:t>
            </w:r>
          </w:p>
        </w:tc>
        <w:tc>
          <w:tcPr/>
          <w:p>
            <w:pPr>
              <w:pStyle w:val="Compact"/>
            </w:pPr>
            <w:r>
              <w:t xml:space="preserve">7.009</w:t>
            </w:r>
          </w:p>
        </w:tc>
        <w:tc>
          <w:tcPr/>
          <w:p>
            <w:pPr>
              <w:pStyle w:val="Compact"/>
            </w:pPr>
            <w:r>
              <w:t xml:space="preserve">2.562</w:t>
            </w:r>
          </w:p>
        </w:tc>
        <w:tc>
          <w:tcPr/>
          <w:p>
            <w:pPr>
              <w:pStyle w:val="Compact"/>
            </w:pPr>
            <w:r>
              <w:t xml:space="preserve">4.447</w:t>
            </w:r>
          </w:p>
        </w:tc>
        <w:tc>
          <w:tcPr/>
          <w:p>
            <w:pPr>
              <w:pStyle w:val="Compact"/>
            </w:pPr>
            <w:r>
              <w:t xml:space="preserve">59,29</w:t>
            </w:r>
          </w:p>
        </w:tc>
      </w:tr>
      <w:tr>
        <w:tc>
          <w:tcPr/>
          <w:p>
            <w:pPr>
              <w:pStyle w:val="Compact"/>
            </w:pPr>
            <w:r>
              <w:t xml:space="preserve">Ituango</w:t>
            </w:r>
          </w:p>
        </w:tc>
        <w:tc>
          <w:tcPr/>
          <w:p>
            <w:pPr>
              <w:pStyle w:val="Compact"/>
            </w:pPr>
            <w:r>
              <w:t xml:space="preserve">29.515</w:t>
            </w:r>
          </w:p>
        </w:tc>
        <w:tc>
          <w:tcPr/>
          <w:p>
            <w:pPr>
              <w:pStyle w:val="Compact"/>
            </w:pPr>
            <w:r>
              <w:t xml:space="preserve">8.459</w:t>
            </w:r>
          </w:p>
        </w:tc>
        <w:tc>
          <w:tcPr/>
          <w:p>
            <w:pPr>
              <w:pStyle w:val="Compact"/>
            </w:pPr>
            <w:r>
              <w:t xml:space="preserve">21.056</w:t>
            </w:r>
          </w:p>
        </w:tc>
        <w:tc>
          <w:tcPr/>
          <w:p>
            <w:pPr>
              <w:pStyle w:val="Compact"/>
            </w:pPr>
            <w:r>
              <w:t xml:space="preserve">10,39</w:t>
            </w:r>
          </w:p>
        </w:tc>
      </w:tr>
      <w:tr>
        <w:tc>
          <w:tcPr/>
          <w:p>
            <w:pPr>
              <w:pStyle w:val="Compact"/>
            </w:pPr>
            <w:r>
              <w:t xml:space="preserve">San Andrés de Cuerquía</w:t>
            </w:r>
          </w:p>
        </w:tc>
        <w:tc>
          <w:tcPr/>
          <w:p>
            <w:pPr>
              <w:pStyle w:val="Compact"/>
            </w:pPr>
            <w:r>
              <w:t xml:space="preserve">7.402</w:t>
            </w:r>
          </w:p>
        </w:tc>
        <w:tc>
          <w:tcPr/>
          <w:p>
            <w:pPr>
              <w:pStyle w:val="Compact"/>
            </w:pPr>
            <w:r>
              <w:t xml:space="preserve">3.139</w:t>
            </w:r>
          </w:p>
        </w:tc>
        <w:tc>
          <w:tcPr/>
          <w:p>
            <w:pPr>
              <w:pStyle w:val="Compact"/>
            </w:pPr>
            <w:r>
              <w:t xml:space="preserve">4.263</w:t>
            </w:r>
          </w:p>
        </w:tc>
        <w:tc>
          <w:tcPr/>
          <w:p>
            <w:pPr>
              <w:pStyle w:val="Compact"/>
            </w:pPr>
            <w:r>
              <w:t xml:space="preserve">33,84</w:t>
            </w:r>
          </w:p>
        </w:tc>
      </w:tr>
      <w:tr>
        <w:tc>
          <w:tcPr/>
          <w:p>
            <w:pPr>
              <w:pStyle w:val="Compact"/>
            </w:pPr>
            <w:r>
              <w:t xml:space="preserve">San José de la Montaña</w:t>
            </w:r>
          </w:p>
        </w:tc>
        <w:tc>
          <w:tcPr/>
          <w:p>
            <w:pPr>
              <w:pStyle w:val="Compact"/>
            </w:pPr>
            <w:r>
              <w:t xml:space="preserve">4.017</w:t>
            </w:r>
          </w:p>
        </w:tc>
        <w:tc>
          <w:tcPr/>
          <w:p>
            <w:pPr>
              <w:pStyle w:val="Compact"/>
            </w:pPr>
            <w:r>
              <w:t xml:space="preserve">2.599</w:t>
            </w:r>
          </w:p>
        </w:tc>
        <w:tc>
          <w:tcPr/>
          <w:p>
            <w:pPr>
              <w:pStyle w:val="Compact"/>
            </w:pPr>
            <w:r>
              <w:t xml:space="preserve">1.418</w:t>
            </w:r>
          </w:p>
        </w:tc>
        <w:tc>
          <w:tcPr/>
          <w:p>
            <w:pPr>
              <w:pStyle w:val="Compact"/>
            </w:pPr>
            <w:r>
              <w:t xml:space="preserve">31,86</w:t>
            </w:r>
          </w:p>
        </w:tc>
      </w:tr>
      <w:tr>
        <w:tc>
          <w:tcPr/>
          <w:p>
            <w:pPr>
              <w:pStyle w:val="Compact"/>
            </w:pPr>
            <w:r>
              <w:t xml:space="preserve">Toledo</w:t>
            </w:r>
          </w:p>
        </w:tc>
        <w:tc>
          <w:tcPr/>
          <w:p>
            <w:pPr>
              <w:pStyle w:val="Compact"/>
            </w:pPr>
            <w:r>
              <w:t xml:space="preserve">4.824</w:t>
            </w:r>
          </w:p>
        </w:tc>
        <w:tc>
          <w:tcPr/>
          <w:p>
            <w:pPr>
              <w:pStyle w:val="Compact"/>
            </w:pPr>
            <w:r>
              <w:t xml:space="preserve">1.758</w:t>
            </w:r>
          </w:p>
        </w:tc>
        <w:tc>
          <w:tcPr/>
          <w:p>
            <w:pPr>
              <w:pStyle w:val="Compact"/>
            </w:pPr>
            <w:r>
              <w:t xml:space="preserve">3.066</w:t>
            </w:r>
          </w:p>
        </w:tc>
        <w:tc>
          <w:tcPr/>
          <w:p>
            <w:pPr>
              <w:pStyle w:val="Compact"/>
            </w:pPr>
            <w:r>
              <w:t xml:space="preserve">39,35</w:t>
            </w:r>
          </w:p>
        </w:tc>
      </w:tr>
      <w:tr>
        <w:tc>
          <w:tcPr/>
          <w:p>
            <w:pPr>
              <w:pStyle w:val="Compact"/>
            </w:pPr>
            <w:r>
              <w:t xml:space="preserve">Valdivia</w:t>
            </w:r>
          </w:p>
        </w:tc>
        <w:tc>
          <w:tcPr/>
          <w:p>
            <w:pPr>
              <w:pStyle w:val="Compact"/>
            </w:pPr>
            <w:r>
              <w:t xml:space="preserve">15.014</w:t>
            </w:r>
          </w:p>
        </w:tc>
        <w:tc>
          <w:tcPr/>
          <w:p>
            <w:pPr>
              <w:pStyle w:val="Compact"/>
            </w:pPr>
            <w:r>
              <w:t xml:space="preserve">4.414</w:t>
            </w:r>
          </w:p>
        </w:tc>
        <w:tc>
          <w:tcPr/>
          <w:p>
            <w:pPr>
              <w:pStyle w:val="Compact"/>
            </w:pPr>
            <w:r>
              <w:t xml:space="preserve">10.600</w:t>
            </w:r>
          </w:p>
        </w:tc>
        <w:tc>
          <w:tcPr/>
          <w:p>
            <w:pPr>
              <w:pStyle w:val="Compact"/>
            </w:pPr>
            <w:r>
              <w:t xml:space="preserve">26,45</w:t>
            </w:r>
          </w:p>
        </w:tc>
      </w:tr>
      <w:tr>
        <w:tc>
          <w:tcPr/>
          <w:p>
            <w:pPr>
              <w:pStyle w:val="Compact"/>
            </w:pPr>
            <w:r>
              <w:t xml:space="preserve">Yarumal</w:t>
            </w:r>
          </w:p>
        </w:tc>
        <w:tc>
          <w:tcPr/>
          <w:p>
            <w:pPr>
              <w:pStyle w:val="Compact"/>
            </w:pPr>
            <w:r>
              <w:t xml:space="preserve">41.884</w:t>
            </w:r>
          </w:p>
        </w:tc>
        <w:tc>
          <w:tcPr/>
          <w:p>
            <w:pPr>
              <w:pStyle w:val="Compact"/>
            </w:pPr>
            <w:r>
              <w:t xml:space="preserve">30.065</w:t>
            </w:r>
          </w:p>
        </w:tc>
        <w:tc>
          <w:tcPr/>
          <w:p>
            <w:pPr>
              <w:pStyle w:val="Compact"/>
            </w:pPr>
            <w:r>
              <w:t xml:space="preserve">11.819</w:t>
            </w:r>
          </w:p>
        </w:tc>
        <w:tc>
          <w:tcPr/>
          <w:p>
            <w:pPr>
              <w:pStyle w:val="Compact"/>
            </w:pPr>
            <w:r>
              <w:t xml:space="preserve">56,73</w:t>
            </w:r>
          </w:p>
        </w:tc>
      </w:tr>
      <w:tr>
        <w:tc>
          <w:tcPr/>
          <w:p>
            <w:pPr>
              <w:pStyle w:val="Compact"/>
            </w:pPr>
            <w:r>
              <w:t xml:space="preserve">TOTAL PROVINCIA BIOENERGÉTICA DEL NORTE DE ANTIOQUIA</w:t>
            </w:r>
          </w:p>
        </w:tc>
        <w:tc>
          <w:tcPr/>
          <w:p>
            <w:pPr>
              <w:pStyle w:val="Compact"/>
            </w:pPr>
            <w:r>
              <w:t xml:space="preserve">175.488</w:t>
            </w:r>
          </w:p>
        </w:tc>
        <w:tc>
          <w:tcPr/>
          <w:p>
            <w:pPr>
              <w:pStyle w:val="Compact"/>
            </w:pPr>
            <w:r>
              <w:t xml:space="preserve">79.850</w:t>
            </w:r>
          </w:p>
        </w:tc>
        <w:tc>
          <w:tcPr/>
          <w:p>
            <w:pPr>
              <w:pStyle w:val="Compact"/>
            </w:pPr>
            <w:r>
              <w:t xml:space="preserve">95.638</w:t>
            </w:r>
          </w:p>
        </w:tc>
        <w:tc>
          <w:tcPr/>
          <w:p>
            <w:pPr>
              <w:pStyle w:val="Compact"/>
            </w:pPr>
            <w:r>
              <w:t xml:space="preserve">23,24</w:t>
            </w:r>
          </w:p>
        </w:tc>
      </w:tr>
      <w:tr>
        <w:tc>
          <w:tcPr/>
          <w:p>
            <w:pPr>
              <w:pStyle w:val="Compact"/>
            </w:pPr>
            <w:r>
              <w:t xml:space="preserve">TOTAL SUBREGIÓN NORTE</w:t>
            </w:r>
          </w:p>
        </w:tc>
        <w:tc>
          <w:tcPr/>
          <w:p>
            <w:pPr>
              <w:pStyle w:val="Compact"/>
            </w:pPr>
            <w:r>
              <w:t xml:space="preserve">255.681</w:t>
            </w:r>
          </w:p>
        </w:tc>
        <w:tc>
          <w:tcPr/>
          <w:p>
            <w:pPr>
              <w:pStyle w:val="Compact"/>
            </w:pPr>
            <w:r>
              <w:t xml:space="preserve">127.611</w:t>
            </w:r>
          </w:p>
        </w:tc>
        <w:tc>
          <w:tcPr/>
          <w:p>
            <w:pPr>
              <w:pStyle w:val="Compact"/>
            </w:pPr>
            <w:r>
              <w:t xml:space="preserve">128.070</w:t>
            </w:r>
          </w:p>
        </w:tc>
        <w:tc>
          <w:tcPr/>
          <w:p>
            <w:pPr>
              <w:pStyle w:val="Compact"/>
            </w:pPr>
            <w:r>
              <w:t xml:space="preserve">32,22</w:t>
            </w:r>
          </w:p>
        </w:tc>
      </w:tr>
      <w:tr>
        <w:tc>
          <w:tcPr/>
          <w:p>
            <w:pPr>
              <w:pStyle w:val="Compact"/>
            </w:pPr>
            <w:r>
              <w:t xml:space="preserve">TOTAL DEPARTAMENTO (ANTIOQUIA)</w:t>
            </w:r>
          </w:p>
        </w:tc>
        <w:tc>
          <w:tcPr/>
          <w:p>
            <w:pPr>
              <w:pStyle w:val="Compact"/>
            </w:pPr>
            <w:r>
              <w:t xml:space="preserve">6.928.372</w:t>
            </w:r>
          </w:p>
        </w:tc>
        <w:tc>
          <w:tcPr/>
          <w:p>
            <w:pPr>
              <w:pStyle w:val="Compact"/>
            </w:pPr>
            <w:r>
              <w:t xml:space="preserve">5.450.720</w:t>
            </w:r>
          </w:p>
        </w:tc>
        <w:tc>
          <w:tcPr/>
          <w:p>
            <w:pPr>
              <w:pStyle w:val="Compact"/>
            </w:pPr>
            <w:r>
              <w:t xml:space="preserve">1.477.652</w:t>
            </w:r>
          </w:p>
        </w:tc>
        <w:tc>
          <w:tcPr/>
          <w:p>
            <w:pPr>
              <w:pStyle w:val="Compact"/>
            </w:pPr>
            <w:r>
              <w:t xml:space="preserve">110,32</w:t>
            </w:r>
          </w:p>
        </w:tc>
      </w:tr>
    </w:tbl>
    <w:p>
      <w:pPr>
        <w:pStyle w:val="BodyText"/>
      </w:pPr>
      <w:r>
        <w:rPr>
          <w:i/>
          <w:iCs/>
        </w:rPr>
        <w:t xml:space="preserve">Fuente: DANE, proyecciones de población 2018-2042. Cálculos propios.</w:t>
      </w:r>
    </w:p>
    <w:p>
      <w:pPr>
        <w:pStyle w:val="CaptionedFigure"/>
      </w:pPr>
      <w:r>
        <w:drawing>
          <wp:inline>
            <wp:extent cx="5600700" cy="3851407"/>
            <wp:effectExtent b="0" l="0" r="0" t="0"/>
            <wp:docPr descr="4. Densidad" title="" id="20" name="Picture"/>
            <a:graphic>
              <a:graphicData uri="http://schemas.openxmlformats.org/drawingml/2006/picture">
                <pic:pic>
                  <pic:nvPicPr>
                    <pic:cNvPr descr="03_Outputs/Bioenergetica_Norte/02_Demografia/figuras/mapa_02_densidad.png" id="21" name="Picture"/>
                    <pic:cNvPicPr>
                      <a:picLocks noChangeArrowheads="1" noChangeAspect="1"/>
                    </pic:cNvPicPr>
                  </pic:nvPicPr>
                  <pic:blipFill>
                    <a:blip r:embed="rId1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4. Densidad</w:t>
      </w:r>
    </w:p>
    <w:p>
      <w:pPr>
        <w:pStyle w:val="CaptionedFigure"/>
      </w:pPr>
      <w:r>
        <w:drawing>
          <wp:inline>
            <wp:extent cx="5600700" cy="3901811"/>
            <wp:effectExtent b="0" l="0" r="0" t="0"/>
            <wp:docPr descr="5. Población municipio" title="" id="23" name="Picture"/>
            <a:graphic>
              <a:graphicData uri="http://schemas.openxmlformats.org/drawingml/2006/picture">
                <pic:pic>
                  <pic:nvPicPr>
                    <pic:cNvPr descr="03_Outputs/Bioenergetica_Norte/02_Demografia/figuras/fig_01_poblacion_municipio.png" id="24" name="Picture"/>
                    <pic:cNvPicPr>
                      <a:picLocks noChangeArrowheads="1" noChangeAspect="1"/>
                    </pic:cNvPicPr>
                  </pic:nvPicPr>
                  <pic:blipFill>
                    <a:blip r:embed="rId22"/>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5. Población municipio</w:t>
      </w:r>
    </w:p>
    <w:p>
      <w:pPr>
        <w:pStyle w:val="CaptionedFigure"/>
      </w:pPr>
      <w:r>
        <w:drawing>
          <wp:inline>
            <wp:extent cx="5600700" cy="3901811"/>
            <wp:effectExtent b="0" l="0" r="0" t="0"/>
            <wp:docPr descr="6. Composicion urbana rural" title="" id="26" name="Picture"/>
            <a:graphic>
              <a:graphicData uri="http://schemas.openxmlformats.org/drawingml/2006/picture">
                <pic:pic>
                  <pic:nvPicPr>
                    <pic:cNvPr descr="03_Outputs/Bioenergetica_Norte/02_Demografia/figuras/fig_02_composicion_urbana_rural.png" id="27" name="Picture"/>
                    <pic:cNvPicPr>
                      <a:picLocks noChangeArrowheads="1" noChangeAspect="1"/>
                    </pic:cNvPicPr>
                  </pic:nvPicPr>
                  <pic:blipFill>
                    <a:blip r:embed="rId25"/>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 Composicion urbana rural</w:t>
      </w:r>
    </w:p>
    <w:p>
      <w:pPr>
        <w:pStyle w:val="CaptionedFigure"/>
      </w:pPr>
      <w:r>
        <w:drawing>
          <wp:inline>
            <wp:extent cx="5600700" cy="3901811"/>
            <wp:effectExtent b="0" l="0" r="0" t="0"/>
            <wp:docPr descr="7. Densidad poblacional" title="" id="29" name="Picture"/>
            <a:graphic>
              <a:graphicData uri="http://schemas.openxmlformats.org/drawingml/2006/picture">
                <pic:pic>
                  <pic:nvPicPr>
                    <pic:cNvPr descr="03_Outputs/Bioenergetica_Norte/02_Demografia/figuras/fig_03_densidad_poblacional.png" id="30" name="Picture"/>
                    <pic:cNvPicPr>
                      <a:picLocks noChangeArrowheads="1" noChangeAspect="1"/>
                    </pic:cNvPicPr>
                  </pic:nvPicPr>
                  <pic:blipFill>
                    <a:blip r:embed="rId28"/>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7. Densidad poblacional</w:t>
      </w:r>
    </w:p>
    <w:p>
      <w:pPr>
        <w:pStyle w:val="CaptionedFigure"/>
      </w:pPr>
      <w:r>
        <w:drawing>
          <wp:inline>
            <wp:extent cx="5600700" cy="3851407"/>
            <wp:effectExtent b="0" l="0" r="0" t="0"/>
            <wp:docPr descr="8. Pirámide poblacional" title="" id="32" name="Picture"/>
            <a:graphic>
              <a:graphicData uri="http://schemas.openxmlformats.org/drawingml/2006/picture">
                <pic:pic>
                  <pic:nvPicPr>
                    <pic:cNvPr descr="03_Outputs/Bioenergetica_Norte/02_Demografia/figuras/fig_04_piramide_poblacional.png" id="33" name="Picture"/>
                    <pic:cNvPicPr>
                      <a:picLocks noChangeArrowheads="1" noChangeAspect="1"/>
                    </pic:cNvPicPr>
                  </pic:nvPicPr>
                  <pic:blipFill>
                    <a:blip r:embed="rId31"/>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8. Pirámide poblacional</w:t>
      </w:r>
    </w:p>
    <w:p>
      <w:pPr>
        <w:pStyle w:val="CaptionedFigure"/>
      </w:pPr>
      <w:r>
        <w:drawing>
          <wp:inline>
            <wp:extent cx="5600700" cy="3901811"/>
            <wp:effectExtent b="0" l="0" r="0" t="0"/>
            <wp:docPr descr="9. Indice envejecimiento" title="" id="35" name="Picture"/>
            <a:graphic>
              <a:graphicData uri="http://schemas.openxmlformats.org/drawingml/2006/picture">
                <pic:pic>
                  <pic:nvPicPr>
                    <pic:cNvPr descr="03_Outputs/Bioenergetica_Norte/02_Demografia/figuras/fig_05_indice_envejecimiento.png" id="36" name="Picture"/>
                    <pic:cNvPicPr>
                      <a:picLocks noChangeArrowheads="1" noChangeAspect="1"/>
                    </pic:cNvPicPr>
                  </pic:nvPicPr>
                  <pic:blipFill>
                    <a:blip r:embed="rId34"/>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9. Indice envejecimiento</w:t>
      </w:r>
    </w:p>
    <w:bookmarkEnd w:id="37"/>
    <w:bookmarkStart w:id="87" w:name="ordenamiento-del-territorio"/>
    <w:p>
      <w:pPr>
        <w:pStyle w:val="Heading3"/>
      </w:pPr>
      <w:r>
        <w:t xml:space="preserve">Ordenamiento del Territorio</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Ordenamiento del Territorio</w:t>
            </w:r>
          </w:p>
        </w:tc>
      </w:tr>
      <w:tr>
        <w:tc>
          <w:tcPr/>
          <w:p>
            <w:pPr>
              <w:pStyle w:val="Compact"/>
              <w:jc w:val="left"/>
            </w:pPr>
            <w:r>
              <w:t xml:space="preserve">Mayor déficit cuantitativo de vivienda: Ituango (10,8 %)</w:t>
            </w:r>
          </w:p>
        </w:tc>
      </w:tr>
      <w:tr>
        <w:tc>
          <w:tcPr/>
          <w:p>
            <w:pPr>
              <w:pStyle w:val="Compact"/>
              <w:jc w:val="left"/>
            </w:pPr>
            <w:r>
              <w:t xml:space="preserve">Mayor déficit cualitativo de vivienda: Briceño (55,0 %)</w:t>
            </w:r>
          </w:p>
        </w:tc>
      </w:tr>
    </w:tbl>
    <w:p>
      <w:pPr>
        <w:pStyle w:val="BodyText"/>
      </w:pPr>
      <w:r>
        <w:t xml:space="preserve">El ordenamiento del territorio reúne aquí cuatro asuntos que en la práctica se condicionan entre sí: los instrumentos con que cada municipio ordena su suelo, la conectividad que determina qué tan lejos queda cada cabecera del resto, las capacidades de ciencia y tecnología, y las condiciones de la vivienda y los servicios domiciliarios. En una Provincia de equilibrio urbano-rural como Bioenergética del Norte de Antioquia, los cuatro se resuelven sobre el mismo obstáculo: la dispersión.</w:t>
      </w:r>
    </w:p>
    <w:bookmarkStart w:id="38" w:name="planes-de-ordenamiento-territorial"/>
    <w:p>
      <w:pPr>
        <w:pStyle w:val="Heading4"/>
      </w:pPr>
      <w:r>
        <w:t xml:space="preserve">Planes de Ordenamiento Territorial</w:t>
      </w:r>
    </w:p>
    <w:p>
      <w:pPr>
        <w:pStyle w:val="FirstParagraph"/>
      </w:pPr>
      <w:r>
        <w:t xml:space="preserve">El uso adecuado del suelo rural, medido por el POTA, alcanza sus valores más altos en Anorí (53,5 %) e Ituango (53,4 %) y los más bajos en Guadalupe (14,3 %) y Angostura (15,1 %). La diferencia mide cuánta de la actividad que hoy ocurre sobre el suelo corresponde a su vocación: donde el porcentaje es bajo, el conflicto de uso ya está instalado y el ordenamiento tiene que corregir, no solo orientar.</w:t>
      </w:r>
    </w:p>
    <w:p>
      <w:pPr>
        <w:pStyle w:val="BodyText"/>
      </w:pPr>
      <w:r>
        <w:t xml:space="preserve">El catastro es la base sobre la que descansan el impuesto predial y cualquier política de suelo. En la Provincia, el avalúo rural representa el 49,0 % del avalúo catastral total, lo que confirma por la vía fiscal la ruralidad descrita en la sección demográfica. El estado más frecuente del catastro rural es «Rezagado», en 12 municipios.</w:t>
      </w:r>
    </w:p>
    <w:p>
      <w:pPr>
        <w:pStyle w:val="BlockText"/>
      </w:pPr>
      <w:r>
        <w:rPr>
          <w:b/>
          <w:bCs/>
        </w:rPr>
        <w:t xml:space="preserve">Verificar con el equipo</w:t>
      </w:r>
      <w:r>
        <w:t xml:space="preserve"> </w:t>
      </w:r>
      <w:r>
        <w:t xml:space="preserve">— el estado de adopción y vigencia de los POT, PBOT y EOT de cada municipio, que no está en las fuentes de este flujo y determina si el Plan puede apoyarse en los instrumentos existentes o debe promover su actualización. Conviene añadir la vigencia de la formación catastral: un avalúo desactualizado subestima el recaudo potencial.</w:t>
      </w:r>
    </w:p>
    <w:bookmarkEnd w:id="38"/>
    <w:bookmarkStart w:id="39" w:name="tránsito-y-trasporte"/>
    <w:p>
      <w:pPr>
        <w:pStyle w:val="Heading4"/>
      </w:pPr>
      <w:r>
        <w:t xml:space="preserve">Tránsito y trasporte</w:t>
      </w:r>
    </w:p>
    <w:p>
      <w:pPr>
        <w:pStyle w:val="FirstParagraph"/>
      </w:pPr>
      <w:r>
        <w:t xml:space="preserve">La red terciaria es la que conecta la producción rural con la cabecera y, por lo tanto, la que decide si la vocación agropecuaria de un municipio llega o no al mercado. Medida en kilómetros por km² de territorio, es mayor en Guadalupe (0,52) y Briceño (0,49) y menor en Ituango (0,07) y Carolina del Príncipe (0,15), con una razón de 7,9 a 1 entre los extremos.</w:t>
      </w:r>
    </w:p>
    <w:p>
      <w:pPr>
        <w:pStyle w:val="BodyText"/>
      </w:pPr>
      <w:r>
        <w:t xml:space="preserve">Leída por habitante en vez de por área, la misma red cambia de orden: Briceño (21,65) y Anorí (15,38) encabezan la Provincia. Las dos lecturas son necesarias. La primera dice cuánto territorio queda sin cubrir; la segunda, cuánta vía sostiene cada habitante, que es lo que pesa sobre la capacidad de mantenimiento del municipio.</w:t>
      </w:r>
    </w:p>
    <w:p>
      <w:pPr>
        <w:pStyle w:val="BlockText"/>
      </w:pPr>
      <w:r>
        <w:rPr>
          <w:b/>
          <w:bCs/>
        </w:rPr>
        <w:t xml:space="preserve">Verificar con el equipo</w:t>
      </w:r>
      <w:r>
        <w:t xml:space="preserve"> </w:t>
      </w:r>
      <w:r>
        <w:t xml:space="preserve">— el estado de la red —no solo su extensión— y qué corredores primarios y secundarios articulan la Provincia con el resto del departamento. Los kilómetros disponibles no dicen nada sobre su transitabilidad en invierno, que es lo que determina el aislamiento real.</w:t>
      </w:r>
    </w:p>
    <w:bookmarkEnd w:id="39"/>
    <w:bookmarkStart w:id="40" w:name="ciencia-tecnología-e-innovación"/>
    <w:p>
      <w:pPr>
        <w:pStyle w:val="Heading4"/>
      </w:pPr>
      <w:r>
        <w:t xml:space="preserve">Ciencia, Tecnología e Innovación</w:t>
      </w:r>
    </w:p>
    <w:p>
      <w:pPr>
        <w:pStyle w:val="FirstParagraph"/>
      </w:pPr>
      <w:r>
        <w:t xml:space="preserve">El acceso a internet fijo describe la brecha digital interna de la Provincia. Medido en líneas por cada mil habitantes, es mayor en Carolina del Príncipe (140,3) y Anorí (135,4) y menor en Ituango (18,5) y San José de la Montaña (23,9). La fibra óptica, que es la tecnología que sostiene un uso intensivo, representa el 66,7 % de las líneas de la Provincia.</w:t>
      </w:r>
    </w:p>
    <w:p>
      <w:pPr>
        <w:pStyle w:val="BodyText"/>
      </w:pPr>
      <w:r>
        <w:t xml:space="preserve">En capacidad institucional digital, el Índice de Gobierno Digital sitúa a Guadalupe (89,4) y Valdivia (72,4) en la parte alta de la Provincia. El promedio provincial ponderado por población es de 57,7 sobre 100, por debajo de la subregión (62,1), con una diferencia de 7 %. Conectividad y capacidad institucional se necesitan mutuamente: la primera sin la segunda deja el trámite en papel, y la segunda sin la primera no llega al ciudadano rural.</w:t>
      </w:r>
    </w:p>
    <w:p>
      <w:pPr>
        <w:pStyle w:val="BodyText"/>
      </w:pPr>
      <w:r>
        <w:t xml:space="preserve">El tránsito inmediato a la educación superior alcanza el 31,9 % en la Provincia. Es el indicador que cierra el círculo de esta subsección: sin acceso digital ni oferta cercana, la continuidad educativa depende de que el joven se desplace, y el desplazamiento es justamente lo que la dispersión encarece.</w:t>
      </w:r>
    </w:p>
    <w:p>
      <w:pPr>
        <w:pStyle w:val="BodyText"/>
      </w:pPr>
      <w:r>
        <w:t xml:space="preserve">El Índice Municipal de Competitividad de Antioquia sitúa a la Provincia en 30,4 sobre 100, encabezada por Carolina del Príncipe (35,6) y Yarumal (35,0). La dimensión de innovación es 0 en todos los municipios de la Provincia; en el conjunto de Antioquia solo un puñado de municipios registra valor positivo, de modo que el cero describe la concentración del indicador antes que una carencia particular de este territorio.</w:t>
      </w:r>
    </w:p>
    <w:p>
      <w:pPr>
        <w:pStyle w:val="BlockText"/>
      </w:pPr>
      <w:r>
        <w:rPr>
          <w:b/>
          <w:bCs/>
        </w:rPr>
        <w:t xml:space="preserve">Verificar con el equipo</w:t>
      </w:r>
      <w:r>
        <w:t xml:space="preserve"> </w:t>
      </w:r>
      <w:r>
        <w:t xml:space="preserve">— qué oferta de educación superior y de formación técnica existe dentro de la Provincia o a distancia razonable, y si hay iniciativas de CTI en marcha con la Gobernación o con universidades.</w:t>
      </w:r>
    </w:p>
    <w:bookmarkEnd w:id="40"/>
    <w:bookmarkStart w:id="86" w:name="vivienda-y-servicios"/>
    <w:p>
      <w:pPr>
        <w:pStyle w:val="Heading4"/>
      </w:pPr>
      <w:r>
        <w:t xml:space="preserve">Vivienda y servicios</w:t>
      </w:r>
    </w:p>
    <w:p>
      <w:pPr>
        <w:pStyle w:val="FirstParagraph"/>
      </w:pPr>
      <w:r>
        <w:t xml:space="preserve">El déficit habitacional se mide en dos dimensiones que piden políticas distintas. El déficit</w:t>
      </w:r>
      <w:r>
        <w:t xml:space="preserve"> </w:t>
      </w:r>
      <w:r>
        <w:rPr>
          <w:b/>
          <w:bCs/>
        </w:rPr>
        <w:t xml:space="preserve">cuantitativo</w:t>
      </w:r>
      <w:r>
        <w:t xml:space="preserve"> </w:t>
      </w:r>
      <w:r>
        <w:t xml:space="preserve">—hogares sin vivienda o en una irrecuperable— afecta al 5,0 % de las viviendas de la Provincia y se concentra en Ituango (10,8 %) y Toledo (9,4 %); se resuelve construyendo. El déficit</w:t>
      </w:r>
      <w:r>
        <w:t xml:space="preserve"> </w:t>
      </w:r>
      <w:r>
        <w:rPr>
          <w:b/>
          <w:bCs/>
        </w:rPr>
        <w:t xml:space="preserve">cualitativo</w:t>
      </w:r>
      <w:r>
        <w:t xml:space="preserve"> </w:t>
      </w:r>
      <w:r>
        <w:t xml:space="preserve">—vivienda mejorable en materiales, servicios o espacio— afecta al 31,1 % y es más alto en Briceño (55,0 %), San Andrés de Cuerquía (53,3 %) y Campamento (48,3 %); se resuelve mejorando lo existente, que es una intervención más barata y de mayor alcance.</w:t>
      </w:r>
    </w:p>
    <w:p>
      <w:pPr>
        <w:pStyle w:val="BodyText"/>
      </w:pPr>
      <w:r>
        <w:t xml:space="preserve">Frente a su entorno, la Provincia está por encima del departamento (17,7 %), con una diferencia de 13,4 puntos porcentuales en déficit cualitativo. En el mapa, los 3 municipios con los valores más altos forman un patrón parcialmente contiguo.</w:t>
      </w:r>
    </w:p>
    <w:p>
      <w:pPr>
        <w:pStyle w:val="BodyText"/>
      </w:pPr>
      <w:r>
        <w:t xml:space="preserve">En servicios domiciliarios, la cobertura de la Provincia es de 88,5 % en acueducto, 70,3 % en alcantarillado y 99,3 % en energía. La distancia entre la cobertura de energía y la de alcantarillado es el indicador más elocuente de la ruralidad: la red eléctrica llegó, la de saneamiento no, y esa diferencia explica buena parte del déficit cualitativo descrito arriba.</w:t>
      </w:r>
    </w:p>
    <w:p>
      <w:pPr>
        <w:pStyle w:val="BlockText"/>
      </w:pPr>
      <w:r>
        <w:rPr>
          <w:b/>
          <w:bCs/>
        </w:rPr>
        <w:t xml:space="preserve">Verificar con el equipo</w:t>
      </w:r>
      <w:r>
        <w:t xml:space="preserve"> </w:t>
      </w:r>
      <w:r>
        <w:t xml:space="preserve">— si existen programas de mejoramiento de vivienda en curso en la Provincia y con qué cobertura, para dimensionar la brecha que el Plan tendría que cubrir.</w:t>
      </w:r>
    </w:p>
    <w:p>
      <w:pPr>
        <w:pStyle w:val="FirstParagraph"/>
      </w:pPr>
      <w:r>
        <w:rPr>
          <w:b/>
          <w:bCs/>
        </w:rPr>
        <w:t xml:space="preserve">Tabla 3.</w:t>
      </w:r>
      <w:r>
        <w:t xml:space="preserve"> </w:t>
      </w:r>
      <w:r>
        <w:t xml:space="preserve">Déficit cuantitativo y cualitativo de vivienda en la Provincia Bioenergética del Norte de Antioquia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Déficit cuantitativo de vivienda</w:t>
            </w:r>
          </w:p>
        </w:tc>
        <w:tc>
          <w:tcPr/>
          <w:p>
            <w:pPr>
              <w:pStyle w:val="Compact"/>
            </w:pPr>
            <w:r>
              <w:t xml:space="preserve">Déficit cualitativo de vivienda</w:t>
            </w:r>
          </w:p>
        </w:tc>
      </w:tr>
      <w:tr>
        <w:tc>
          <w:tcPr/>
          <w:p>
            <w:pPr>
              <w:pStyle w:val="Compact"/>
            </w:pPr>
            <w:r>
              <w:t xml:space="preserve">Angostura</w:t>
            </w:r>
          </w:p>
        </w:tc>
        <w:tc>
          <w:tcPr/>
          <w:p>
            <w:pPr>
              <w:pStyle w:val="Compact"/>
            </w:pPr>
            <w:r>
              <w:t xml:space="preserve">8,8 %</w:t>
            </w:r>
          </w:p>
        </w:tc>
        <w:tc>
          <w:tcPr/>
          <w:p>
            <w:pPr>
              <w:pStyle w:val="Compact"/>
            </w:pPr>
            <w:r>
              <w:t xml:space="preserve">25,5 %</w:t>
            </w:r>
          </w:p>
        </w:tc>
      </w:tr>
      <w:tr>
        <w:tc>
          <w:tcPr/>
          <w:p>
            <w:pPr>
              <w:pStyle w:val="Compact"/>
            </w:pPr>
            <w:r>
              <w:t xml:space="preserve">Anorí</w:t>
            </w:r>
          </w:p>
        </w:tc>
        <w:tc>
          <w:tcPr/>
          <w:p>
            <w:pPr>
              <w:pStyle w:val="Compact"/>
            </w:pPr>
            <w:r>
              <w:t xml:space="preserve">4,2 %</w:t>
            </w:r>
          </w:p>
        </w:tc>
        <w:tc>
          <w:tcPr/>
          <w:p>
            <w:pPr>
              <w:pStyle w:val="Compact"/>
            </w:pPr>
            <w:r>
              <w:t xml:space="preserve">45,5 %</w:t>
            </w:r>
          </w:p>
        </w:tc>
      </w:tr>
      <w:tr>
        <w:tc>
          <w:tcPr/>
          <w:p>
            <w:pPr>
              <w:pStyle w:val="Compact"/>
            </w:pPr>
            <w:r>
              <w:t xml:space="preserve">Briceño</w:t>
            </w:r>
          </w:p>
        </w:tc>
        <w:tc>
          <w:tcPr/>
          <w:p>
            <w:pPr>
              <w:pStyle w:val="Compact"/>
            </w:pPr>
            <w:r>
              <w:t xml:space="preserve">8,6 %</w:t>
            </w:r>
          </w:p>
        </w:tc>
        <w:tc>
          <w:tcPr/>
          <w:p>
            <w:pPr>
              <w:pStyle w:val="Compact"/>
            </w:pPr>
            <w:r>
              <w:t xml:space="preserve">55,0 %</w:t>
            </w:r>
          </w:p>
        </w:tc>
      </w:tr>
      <w:tr>
        <w:tc>
          <w:tcPr/>
          <w:p>
            <w:pPr>
              <w:pStyle w:val="Compact"/>
            </w:pPr>
            <w:r>
              <w:t xml:space="preserve">Campamento</w:t>
            </w:r>
          </w:p>
        </w:tc>
        <w:tc>
          <w:tcPr/>
          <w:p>
            <w:pPr>
              <w:pStyle w:val="Compact"/>
            </w:pPr>
            <w:r>
              <w:t xml:space="preserve">6,2 %</w:t>
            </w:r>
          </w:p>
        </w:tc>
        <w:tc>
          <w:tcPr/>
          <w:p>
            <w:pPr>
              <w:pStyle w:val="Compact"/>
            </w:pPr>
            <w:r>
              <w:t xml:space="preserve">48,3 %</w:t>
            </w:r>
          </w:p>
        </w:tc>
      </w:tr>
      <w:tr>
        <w:tc>
          <w:tcPr/>
          <w:p>
            <w:pPr>
              <w:pStyle w:val="Compact"/>
            </w:pPr>
            <w:r>
              <w:t xml:space="preserve">Carolina del Príncipe</w:t>
            </w:r>
          </w:p>
        </w:tc>
        <w:tc>
          <w:tcPr/>
          <w:p>
            <w:pPr>
              <w:pStyle w:val="Compact"/>
            </w:pPr>
            <w:r>
              <w:t xml:space="preserve">2,0 %</w:t>
            </w:r>
          </w:p>
        </w:tc>
        <w:tc>
          <w:tcPr/>
          <w:p>
            <w:pPr>
              <w:pStyle w:val="Compact"/>
            </w:pPr>
            <w:r>
              <w:t xml:space="preserve">14,1 %</w:t>
            </w:r>
          </w:p>
        </w:tc>
      </w:tr>
      <w:tr>
        <w:tc>
          <w:tcPr/>
          <w:p>
            <w:pPr>
              <w:pStyle w:val="Compact"/>
            </w:pPr>
            <w:r>
              <w:t xml:space="preserve">Gómez Plata</w:t>
            </w:r>
          </w:p>
        </w:tc>
        <w:tc>
          <w:tcPr/>
          <w:p>
            <w:pPr>
              <w:pStyle w:val="Compact"/>
            </w:pPr>
            <w:r>
              <w:t xml:space="preserve">1,8 %</w:t>
            </w:r>
          </w:p>
        </w:tc>
        <w:tc>
          <w:tcPr/>
          <w:p>
            <w:pPr>
              <w:pStyle w:val="Compact"/>
            </w:pPr>
            <w:r>
              <w:t xml:space="preserve">21,1 %</w:t>
            </w:r>
          </w:p>
        </w:tc>
      </w:tr>
      <w:tr>
        <w:tc>
          <w:tcPr/>
          <w:p>
            <w:pPr>
              <w:pStyle w:val="Compact"/>
            </w:pPr>
            <w:r>
              <w:t xml:space="preserve">Guadalupe</w:t>
            </w:r>
          </w:p>
        </w:tc>
        <w:tc>
          <w:tcPr/>
          <w:p>
            <w:pPr>
              <w:pStyle w:val="Compact"/>
            </w:pPr>
            <w:r>
              <w:t xml:space="preserve">2,6 %</w:t>
            </w:r>
          </w:p>
        </w:tc>
        <w:tc>
          <w:tcPr/>
          <w:p>
            <w:pPr>
              <w:pStyle w:val="Compact"/>
            </w:pPr>
            <w:r>
              <w:t xml:space="preserve">36,8 %</w:t>
            </w:r>
          </w:p>
        </w:tc>
      </w:tr>
      <w:tr>
        <w:tc>
          <w:tcPr/>
          <w:p>
            <w:pPr>
              <w:pStyle w:val="Compact"/>
            </w:pPr>
            <w:r>
              <w:t xml:space="preserve">Ituango</w:t>
            </w:r>
          </w:p>
        </w:tc>
        <w:tc>
          <w:tcPr/>
          <w:p>
            <w:pPr>
              <w:pStyle w:val="Compact"/>
            </w:pPr>
            <w:r>
              <w:t xml:space="preserve">10,8 %</w:t>
            </w:r>
          </w:p>
        </w:tc>
        <w:tc>
          <w:tcPr/>
          <w:p>
            <w:pPr>
              <w:pStyle w:val="Compact"/>
            </w:pPr>
            <w:r>
              <w:t xml:space="preserve">22,5 %</w:t>
            </w:r>
          </w:p>
        </w:tc>
      </w:tr>
      <w:tr>
        <w:tc>
          <w:tcPr/>
          <w:p>
            <w:pPr>
              <w:pStyle w:val="Compact"/>
            </w:pPr>
            <w:r>
              <w:t xml:space="preserve">San Andrés de Cuerquía</w:t>
            </w:r>
          </w:p>
        </w:tc>
        <w:tc>
          <w:tcPr/>
          <w:p>
            <w:pPr>
              <w:pStyle w:val="Compact"/>
            </w:pPr>
            <w:r>
              <w:t xml:space="preserve">5,6 %</w:t>
            </w:r>
          </w:p>
        </w:tc>
        <w:tc>
          <w:tcPr/>
          <w:p>
            <w:pPr>
              <w:pStyle w:val="Compact"/>
            </w:pPr>
            <w:r>
              <w:t xml:space="preserve">53,3 %</w:t>
            </w:r>
          </w:p>
        </w:tc>
      </w:tr>
      <w:tr>
        <w:tc>
          <w:tcPr/>
          <w:p>
            <w:pPr>
              <w:pStyle w:val="Compact"/>
            </w:pPr>
            <w:r>
              <w:t xml:space="preserve">San José de la Montaña</w:t>
            </w:r>
          </w:p>
        </w:tc>
        <w:tc>
          <w:tcPr/>
          <w:p>
            <w:pPr>
              <w:pStyle w:val="Compact"/>
            </w:pPr>
            <w:r>
              <w:t xml:space="preserve">1,3 %</w:t>
            </w:r>
          </w:p>
        </w:tc>
        <w:tc>
          <w:tcPr/>
          <w:p>
            <w:pPr>
              <w:pStyle w:val="Compact"/>
            </w:pPr>
            <w:r>
              <w:t xml:space="preserve">27,3 %</w:t>
            </w:r>
          </w:p>
        </w:tc>
      </w:tr>
      <w:tr>
        <w:tc>
          <w:tcPr/>
          <w:p>
            <w:pPr>
              <w:pStyle w:val="Compact"/>
            </w:pPr>
            <w:r>
              <w:t xml:space="preserve">Toledo</w:t>
            </w:r>
          </w:p>
        </w:tc>
        <w:tc>
          <w:tcPr/>
          <w:p>
            <w:pPr>
              <w:pStyle w:val="Compact"/>
            </w:pPr>
            <w:r>
              <w:t xml:space="preserve">9,4 %</w:t>
            </w:r>
          </w:p>
        </w:tc>
        <w:tc>
          <w:tcPr/>
          <w:p>
            <w:pPr>
              <w:pStyle w:val="Compact"/>
            </w:pPr>
            <w:r>
              <w:t xml:space="preserve">34,3 %</w:t>
            </w:r>
          </w:p>
        </w:tc>
      </w:tr>
      <w:tr>
        <w:tc>
          <w:tcPr/>
          <w:p>
            <w:pPr>
              <w:pStyle w:val="Compact"/>
            </w:pPr>
            <w:r>
              <w:t xml:space="preserve">Valdivia</w:t>
            </w:r>
          </w:p>
        </w:tc>
        <w:tc>
          <w:tcPr/>
          <w:p>
            <w:pPr>
              <w:pStyle w:val="Compact"/>
            </w:pPr>
            <w:r>
              <w:t xml:space="preserve">5,2 %</w:t>
            </w:r>
          </w:p>
        </w:tc>
        <w:tc>
          <w:tcPr/>
          <w:p>
            <w:pPr>
              <w:pStyle w:val="Compact"/>
            </w:pPr>
            <w:r>
              <w:t xml:space="preserve">43,9 %</w:t>
            </w:r>
          </w:p>
        </w:tc>
      </w:tr>
      <w:tr>
        <w:tc>
          <w:tcPr/>
          <w:p>
            <w:pPr>
              <w:pStyle w:val="Compact"/>
            </w:pPr>
            <w:r>
              <w:t xml:space="preserve">Yarumal</w:t>
            </w:r>
          </w:p>
        </w:tc>
        <w:tc>
          <w:tcPr/>
          <w:p>
            <w:pPr>
              <w:pStyle w:val="Compact"/>
            </w:pPr>
            <w:r>
              <w:t xml:space="preserve">1,8 %</w:t>
            </w:r>
          </w:p>
        </w:tc>
        <w:tc>
          <w:tcPr/>
          <w:p>
            <w:pPr>
              <w:pStyle w:val="Compact"/>
            </w:pPr>
            <w:r>
              <w:t xml:space="preserve">18,0 %</w:t>
            </w:r>
          </w:p>
        </w:tc>
      </w:tr>
      <w:tr>
        <w:tc>
          <w:tcPr/>
          <w:p>
            <w:pPr>
              <w:pStyle w:val="Compact"/>
            </w:pPr>
            <w:r>
              <w:t xml:space="preserve">PROVINCIA BIOENERGÉTICA DEL NORTE DE ANTIOQUIA (tasa agregada: Σ viviendas con déficit / Σ viviendas)</w:t>
            </w:r>
          </w:p>
        </w:tc>
        <w:tc>
          <w:tcPr/>
          <w:p>
            <w:pPr>
              <w:pStyle w:val="Compact"/>
            </w:pPr>
            <w:r>
              <w:t xml:space="preserve">5,0 %</w:t>
            </w:r>
          </w:p>
        </w:tc>
        <w:tc>
          <w:tcPr/>
          <w:p>
            <w:pPr>
              <w:pStyle w:val="Compact"/>
            </w:pPr>
            <w:r>
              <w:t xml:space="preserve">31,1 %</w:t>
            </w:r>
          </w:p>
        </w:tc>
      </w:tr>
      <w:tr>
        <w:tc>
          <w:tcPr/>
          <w:p>
            <w:pPr>
              <w:pStyle w:val="Compact"/>
            </w:pPr>
            <w:r>
              <w:t xml:space="preserve">SUBREGIÓN NORTE (tasa agregada)</w:t>
            </w:r>
          </w:p>
        </w:tc>
        <w:tc>
          <w:tcPr/>
          <w:p>
            <w:pPr>
              <w:pStyle w:val="Compact"/>
            </w:pPr>
            <w:r>
              <w:t xml:space="preserve">3,7 %</w:t>
            </w:r>
          </w:p>
        </w:tc>
        <w:tc>
          <w:tcPr/>
          <w:p>
            <w:pPr>
              <w:pStyle w:val="Compact"/>
            </w:pPr>
            <w:r>
              <w:t xml:space="preserve">27,2 %</w:t>
            </w:r>
          </w:p>
        </w:tc>
      </w:tr>
      <w:tr>
        <w:tc>
          <w:tcPr/>
          <w:p>
            <w:pPr>
              <w:pStyle w:val="Compact"/>
            </w:pPr>
            <w:r>
              <w:t xml:space="preserve">DEPARTAMENTO (ANTIOQUIA) (tasa agregada)</w:t>
            </w:r>
          </w:p>
        </w:tc>
        <w:tc>
          <w:tcPr/>
          <w:p>
            <w:pPr>
              <w:pStyle w:val="Compact"/>
            </w:pPr>
            <w:r>
              <w:t xml:space="preserve">5,8 %</w:t>
            </w:r>
          </w:p>
        </w:tc>
        <w:tc>
          <w:tcPr/>
          <w:p>
            <w:pPr>
              <w:pStyle w:val="Compact"/>
            </w:pPr>
            <w:r>
              <w:t xml:space="preserve">17,7 %</w:t>
            </w:r>
          </w:p>
        </w:tc>
      </w:tr>
    </w:tbl>
    <w:p>
      <w:pPr>
        <w:pStyle w:val="BodyText"/>
      </w:pPr>
      <w:r>
        <w:rPr>
          <w:i/>
          <w:iCs/>
        </w:rPr>
        <w:t xml:space="preserve">Fuente: DANE, déficit habitacional 2023. Cálculos propios.</w:t>
      </w:r>
    </w:p>
    <w:p>
      <w:pPr>
        <w:pStyle w:val="CaptionedFigure"/>
      </w:pPr>
      <w:r>
        <w:drawing>
          <wp:inline>
            <wp:extent cx="5600700" cy="3851407"/>
            <wp:effectExtent b="0" l="0" r="0" t="0"/>
            <wp:docPr descr="10. Déficit vivienda" title="" id="42" name="Picture"/>
            <a:graphic>
              <a:graphicData uri="http://schemas.openxmlformats.org/drawingml/2006/picture">
                <pic:pic>
                  <pic:nvPicPr>
                    <pic:cNvPr descr="03_Outputs/Bioenergetica_Norte/03_Ordenamiento/figuras/mapa_03_deficit_vivienda.png" id="43" name="Picture"/>
                    <pic:cNvPicPr>
                      <a:picLocks noChangeArrowheads="1" noChangeAspect="1"/>
                    </pic:cNvPicPr>
                  </pic:nvPicPr>
                  <pic:blipFill>
                    <a:blip r:embed="rId41"/>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10. Déficit vivienda</w:t>
      </w:r>
    </w:p>
    <w:p>
      <w:pPr>
        <w:pStyle w:val="CaptionedFigure"/>
      </w:pPr>
      <w:r>
        <w:drawing>
          <wp:inline>
            <wp:extent cx="5600700" cy="3901811"/>
            <wp:effectExtent b="0" l="0" r="0" t="0"/>
            <wp:docPr descr="11. Uso suelo rural" title="" id="45" name="Picture"/>
            <a:graphic>
              <a:graphicData uri="http://schemas.openxmlformats.org/drawingml/2006/picture">
                <pic:pic>
                  <pic:nvPicPr>
                    <pic:cNvPr descr="03_Outputs/Bioenergetica_Norte/03_Ordenamiento/figuras/fig_01_uso_suelo_rural.png" id="46" name="Picture"/>
                    <pic:cNvPicPr>
                      <a:picLocks noChangeArrowheads="1" noChangeAspect="1"/>
                    </pic:cNvPicPr>
                  </pic:nvPicPr>
                  <pic:blipFill>
                    <a:blip r:embed="rId44"/>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11. Uso suelo rural</w:t>
      </w:r>
    </w:p>
    <w:p>
      <w:pPr>
        <w:pStyle w:val="CaptionedFigure"/>
      </w:pPr>
      <w:r>
        <w:drawing>
          <wp:inline>
            <wp:extent cx="5600700" cy="3901811"/>
            <wp:effectExtent b="0" l="0" r="0" t="0"/>
            <wp:docPr descr="12. Catastro avalúo rural" title="" id="48" name="Picture"/>
            <a:graphic>
              <a:graphicData uri="http://schemas.openxmlformats.org/drawingml/2006/picture">
                <pic:pic>
                  <pic:nvPicPr>
                    <pic:cNvPr descr="03_Outputs/Bioenergetica_Norte/03_Ordenamiento/figuras/fig_02_catastro_avaluo_rural.png" id="49" name="Picture"/>
                    <pic:cNvPicPr>
                      <a:picLocks noChangeArrowheads="1" noChangeAspect="1"/>
                    </pic:cNvPicPr>
                  </pic:nvPicPr>
                  <pic:blipFill>
                    <a:blip r:embed="rId47"/>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12. Catastro avalúo rural</w:t>
      </w:r>
    </w:p>
    <w:p>
      <w:pPr>
        <w:pStyle w:val="CaptionedFigure"/>
      </w:pPr>
      <w:r>
        <w:drawing>
          <wp:inline>
            <wp:extent cx="5600700" cy="4094529"/>
            <wp:effectExtent b="0" l="0" r="0" t="0"/>
            <wp:docPr descr="13. Vías área" title="" id="51" name="Picture"/>
            <a:graphic>
              <a:graphicData uri="http://schemas.openxmlformats.org/drawingml/2006/picture">
                <pic:pic>
                  <pic:nvPicPr>
                    <pic:cNvPr descr="03_Outputs/Bioenergetica_Norte/03_Ordenamiento/figuras/fig_03_vias_area.png" id="52" name="Picture"/>
                    <pic:cNvPicPr>
                      <a:picLocks noChangeArrowheads="1" noChangeAspect="1"/>
                    </pic:cNvPicPr>
                  </pic:nvPicPr>
                  <pic:blipFill>
                    <a:blip r:embed="rId50"/>
                    <a:stretch>
                      <a:fillRect/>
                    </a:stretch>
                  </pic:blipFill>
                  <pic:spPr bwMode="auto">
                    <a:xfrm>
                      <a:off x="0" y="0"/>
                      <a:ext cx="5600700" cy="4094529"/>
                    </a:xfrm>
                    <a:prstGeom prst="rect">
                      <a:avLst/>
                    </a:prstGeom>
                    <a:noFill/>
                    <a:ln w="9525">
                      <a:noFill/>
                      <a:headEnd/>
                      <a:tailEnd/>
                    </a:ln>
                  </pic:spPr>
                </pic:pic>
              </a:graphicData>
            </a:graphic>
          </wp:inline>
        </w:drawing>
      </w:r>
    </w:p>
    <w:p>
      <w:pPr>
        <w:pStyle w:val="ImageCaption"/>
      </w:pPr>
      <w:r>
        <w:t xml:space="preserve">13. Vías área</w:t>
      </w:r>
    </w:p>
    <w:p>
      <w:pPr>
        <w:pStyle w:val="CaptionedFigure"/>
      </w:pPr>
      <w:r>
        <w:drawing>
          <wp:inline>
            <wp:extent cx="5600700" cy="4094529"/>
            <wp:effectExtent b="0" l="0" r="0" t="0"/>
            <wp:docPr descr="14. Vías habitantes" title="" id="54" name="Picture"/>
            <a:graphic>
              <a:graphicData uri="http://schemas.openxmlformats.org/drawingml/2006/picture">
                <pic:pic>
                  <pic:nvPicPr>
                    <pic:cNvPr descr="03_Outputs/Bioenergetica_Norte/03_Ordenamiento/figuras/fig_04_vias_habitantes.png" id="55" name="Picture"/>
                    <pic:cNvPicPr>
                      <a:picLocks noChangeArrowheads="1" noChangeAspect="1"/>
                    </pic:cNvPicPr>
                  </pic:nvPicPr>
                  <pic:blipFill>
                    <a:blip r:embed="rId53"/>
                    <a:stretch>
                      <a:fillRect/>
                    </a:stretch>
                  </pic:blipFill>
                  <pic:spPr bwMode="auto">
                    <a:xfrm>
                      <a:off x="0" y="0"/>
                      <a:ext cx="5600700" cy="4094529"/>
                    </a:xfrm>
                    <a:prstGeom prst="rect">
                      <a:avLst/>
                    </a:prstGeom>
                    <a:noFill/>
                    <a:ln w="9525">
                      <a:noFill/>
                      <a:headEnd/>
                      <a:tailEnd/>
                    </a:ln>
                  </pic:spPr>
                </pic:pic>
              </a:graphicData>
            </a:graphic>
          </wp:inline>
        </w:drawing>
      </w:r>
    </w:p>
    <w:p>
      <w:pPr>
        <w:pStyle w:val="ImageCaption"/>
      </w:pPr>
      <w:r>
        <w:t xml:space="preserve">14. Vías habitantes</w:t>
      </w:r>
    </w:p>
    <w:p>
      <w:pPr>
        <w:pStyle w:val="CaptionedFigure"/>
      </w:pPr>
      <w:r>
        <w:drawing>
          <wp:inline>
            <wp:extent cx="5600700" cy="3901811"/>
            <wp:effectExtent b="0" l="0" r="0" t="0"/>
            <wp:docPr descr="15. Déficit cuantitativo" title="" id="57" name="Picture"/>
            <a:graphic>
              <a:graphicData uri="http://schemas.openxmlformats.org/drawingml/2006/picture">
                <pic:pic>
                  <pic:nvPicPr>
                    <pic:cNvPr descr="03_Outputs/Bioenergetica_Norte/03_Ordenamiento/figuras/fig_05_deficit_cuantitativo.png" id="58" name="Picture"/>
                    <pic:cNvPicPr>
                      <a:picLocks noChangeArrowheads="1" noChangeAspect="1"/>
                    </pic:cNvPicPr>
                  </pic:nvPicPr>
                  <pic:blipFill>
                    <a:blip r:embed="rId56"/>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15. Déficit cuantitativo</w:t>
      </w:r>
    </w:p>
    <w:p>
      <w:pPr>
        <w:pStyle w:val="CaptionedFigure"/>
      </w:pPr>
      <w:r>
        <w:drawing>
          <wp:inline>
            <wp:extent cx="5600700" cy="3901811"/>
            <wp:effectExtent b="0" l="0" r="0" t="0"/>
            <wp:docPr descr="16. Déficit cualitativo" title="" id="60" name="Picture"/>
            <a:graphic>
              <a:graphicData uri="http://schemas.openxmlformats.org/drawingml/2006/picture">
                <pic:pic>
                  <pic:nvPicPr>
                    <pic:cNvPr descr="03_Outputs/Bioenergetica_Norte/03_Ordenamiento/figuras/fig_06_deficit_cualitativo.png" id="61" name="Picture"/>
                    <pic:cNvPicPr>
                      <a:picLocks noChangeArrowheads="1" noChangeAspect="1"/>
                    </pic:cNvPicPr>
                  </pic:nvPicPr>
                  <pic:blipFill>
                    <a:blip r:embed="rId59"/>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16. Déficit cualitativo</w:t>
      </w:r>
    </w:p>
    <w:p>
      <w:pPr>
        <w:pStyle w:val="CaptionedFigure"/>
      </w:pPr>
      <w:r>
        <w:drawing>
          <wp:inline>
            <wp:extent cx="5600700" cy="3901811"/>
            <wp:effectExtent b="0" l="0" r="0" t="0"/>
            <wp:docPr descr="17. Servicios públicos" title="" id="63" name="Picture"/>
            <a:graphic>
              <a:graphicData uri="http://schemas.openxmlformats.org/drawingml/2006/picture">
                <pic:pic>
                  <pic:nvPicPr>
                    <pic:cNvPr descr="03_Outputs/Bioenergetica_Norte/03_Ordenamiento/figuras/fig_07_servicios_publicos.png" id="64" name="Picture"/>
                    <pic:cNvPicPr>
                      <a:picLocks noChangeArrowheads="1" noChangeAspect="1"/>
                    </pic:cNvPicPr>
                  </pic:nvPicPr>
                  <pic:blipFill>
                    <a:blip r:embed="rId62"/>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17. Servicios públicos</w:t>
      </w:r>
    </w:p>
    <w:p>
      <w:pPr>
        <w:pStyle w:val="CaptionedFigure"/>
      </w:pPr>
      <w:r>
        <w:drawing>
          <wp:inline>
            <wp:extent cx="5600700" cy="5828997"/>
            <wp:effectExtent b="0" l="0" r="0" t="0"/>
            <wp:docPr descr="18. IMCA dimensiones" title="" id="66" name="Picture"/>
            <a:graphic>
              <a:graphicData uri="http://schemas.openxmlformats.org/drawingml/2006/picture">
                <pic:pic>
                  <pic:nvPicPr>
                    <pic:cNvPr descr="03_Outputs/Bioenergetica_Norte/03_Ordenamiento/figuras/fig_08_imca_dimensiones.png" id="67" name="Picture"/>
                    <pic:cNvPicPr>
                      <a:picLocks noChangeArrowheads="1" noChangeAspect="1"/>
                    </pic:cNvPicPr>
                  </pic:nvPicPr>
                  <pic:blipFill>
                    <a:blip r:embed="rId65"/>
                    <a:stretch>
                      <a:fillRect/>
                    </a:stretch>
                  </pic:blipFill>
                  <pic:spPr bwMode="auto">
                    <a:xfrm>
                      <a:off x="0" y="0"/>
                      <a:ext cx="5600700" cy="5828997"/>
                    </a:xfrm>
                    <a:prstGeom prst="rect">
                      <a:avLst/>
                    </a:prstGeom>
                    <a:noFill/>
                    <a:ln w="9525">
                      <a:noFill/>
                      <a:headEnd/>
                      <a:tailEnd/>
                    </a:ln>
                  </pic:spPr>
                </pic:pic>
              </a:graphicData>
            </a:graphic>
          </wp:inline>
        </w:drawing>
      </w:r>
    </w:p>
    <w:p>
      <w:pPr>
        <w:pStyle w:val="ImageCaption"/>
      </w:pPr>
      <w:r>
        <w:t xml:space="preserve">18. IMCA dimensiones</w:t>
      </w:r>
    </w:p>
    <w:p>
      <w:pPr>
        <w:pStyle w:val="CaptionedFigure"/>
      </w:pPr>
      <w:r>
        <w:drawing>
          <wp:inline>
            <wp:extent cx="5600700" cy="3901811"/>
            <wp:effectExtent b="0" l="0" r="0" t="0"/>
            <wp:docPr descr="19. IMCA adopcion tic" title="" id="69" name="Picture"/>
            <a:graphic>
              <a:graphicData uri="http://schemas.openxmlformats.org/drawingml/2006/picture">
                <pic:pic>
                  <pic:nvPicPr>
                    <pic:cNvPr descr="03_Outputs/Bioenergetica_Norte/03_Ordenamiento/figuras/fig_09_imca_adopcion_tic.png" id="70" name="Picture"/>
                    <pic:cNvPicPr>
                      <a:picLocks noChangeArrowheads="1" noChangeAspect="1"/>
                    </pic:cNvPicPr>
                  </pic:nvPicPr>
                  <pic:blipFill>
                    <a:blip r:embed="rId68"/>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19. IMCA adopcion tic</w:t>
      </w:r>
    </w:p>
    <w:p>
      <w:pPr>
        <w:pStyle w:val="CaptionedFigure"/>
      </w:pPr>
      <w:r>
        <w:drawing>
          <wp:inline>
            <wp:extent cx="5600700" cy="3709092"/>
            <wp:effectExtent b="0" l="0" r="0" t="0"/>
            <wp:docPr descr="20. Gobierno digital" title="" id="72" name="Picture"/>
            <a:graphic>
              <a:graphicData uri="http://schemas.openxmlformats.org/drawingml/2006/picture">
                <pic:pic>
                  <pic:nvPicPr>
                    <pic:cNvPr descr="03_Outputs/Bioenergetica_Norte/03_Ordenamiento/figuras/fig_10_gobierno_digital.png" id="73" name="Picture"/>
                    <pic:cNvPicPr>
                      <a:picLocks noChangeArrowheads="1" noChangeAspect="1"/>
                    </pic:cNvPicPr>
                  </pic:nvPicPr>
                  <pic:blipFill>
                    <a:blip r:embed="rId71"/>
                    <a:stretch>
                      <a:fillRect/>
                    </a:stretch>
                  </pic:blipFill>
                  <pic:spPr bwMode="auto">
                    <a:xfrm>
                      <a:off x="0" y="0"/>
                      <a:ext cx="5600700" cy="3709092"/>
                    </a:xfrm>
                    <a:prstGeom prst="rect">
                      <a:avLst/>
                    </a:prstGeom>
                    <a:noFill/>
                    <a:ln w="9525">
                      <a:noFill/>
                      <a:headEnd/>
                      <a:tailEnd/>
                    </a:ln>
                  </pic:spPr>
                </pic:pic>
              </a:graphicData>
            </a:graphic>
          </wp:inline>
        </w:drawing>
      </w:r>
    </w:p>
    <w:p>
      <w:pPr>
        <w:pStyle w:val="ImageCaption"/>
      </w:pPr>
      <w:r>
        <w:t xml:space="preserve">20. Gobierno digital</w:t>
      </w:r>
    </w:p>
    <w:p>
      <w:pPr>
        <w:pStyle w:val="CaptionedFigure"/>
      </w:pPr>
      <w:r>
        <w:drawing>
          <wp:inline>
            <wp:extent cx="5600700" cy="3519338"/>
            <wp:effectExtent b="0" l="0" r="0" t="0"/>
            <wp:docPr descr="21. Gobierno digital componentes" title="" id="75" name="Picture"/>
            <a:graphic>
              <a:graphicData uri="http://schemas.openxmlformats.org/drawingml/2006/picture">
                <pic:pic>
                  <pic:nvPicPr>
                    <pic:cNvPr descr="03_Outputs/Bioenergetica_Norte/03_Ordenamiento/figuras/fig_11_gobierno_digital_componentes.png" id="76" name="Picture"/>
                    <pic:cNvPicPr>
                      <a:picLocks noChangeArrowheads="1" noChangeAspect="1"/>
                    </pic:cNvPicPr>
                  </pic:nvPicPr>
                  <pic:blipFill>
                    <a:blip r:embed="rId74"/>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21. Gobierno digital componentes</w:t>
      </w:r>
    </w:p>
    <w:p>
      <w:pPr>
        <w:pStyle w:val="CaptionedFigure"/>
      </w:pPr>
      <w:r>
        <w:drawing>
          <wp:inline>
            <wp:extent cx="5600700" cy="3901811"/>
            <wp:effectExtent b="0" l="0" r="0" t="0"/>
            <wp:docPr descr="22. Tti edsup" title="" id="78" name="Picture"/>
            <a:graphic>
              <a:graphicData uri="http://schemas.openxmlformats.org/drawingml/2006/picture">
                <pic:pic>
                  <pic:nvPicPr>
                    <pic:cNvPr descr="03_Outputs/Bioenergetica_Norte/03_Ordenamiento/figuras/fig_12_tti_edsup.png" id="79" name="Picture"/>
                    <pic:cNvPicPr>
                      <a:picLocks noChangeArrowheads="1" noChangeAspect="1"/>
                    </pic:cNvPicPr>
                  </pic:nvPicPr>
                  <pic:blipFill>
                    <a:blip r:embed="rId77"/>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22. Tti edsup</w:t>
      </w:r>
    </w:p>
    <w:p>
      <w:pPr>
        <w:pStyle w:val="CaptionedFigure"/>
      </w:pPr>
      <w:r>
        <w:drawing>
          <wp:inline>
            <wp:extent cx="5600700" cy="3901811"/>
            <wp:effectExtent b="0" l="0" r="0" t="0"/>
            <wp:docPr descr="23. Internet 1000hab" title="" id="81" name="Picture"/>
            <a:graphic>
              <a:graphicData uri="http://schemas.openxmlformats.org/drawingml/2006/picture">
                <pic:pic>
                  <pic:nvPicPr>
                    <pic:cNvPr descr="03_Outputs/Bioenergetica_Norte/03_Ordenamiento/figuras/fig_13_internet_1000hab.png" id="82" name="Picture"/>
                    <pic:cNvPicPr>
                      <a:picLocks noChangeArrowheads="1" noChangeAspect="1"/>
                    </pic:cNvPicPr>
                  </pic:nvPicPr>
                  <pic:blipFill>
                    <a:blip r:embed="rId80"/>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23. Internet 1000hab</w:t>
      </w:r>
    </w:p>
    <w:p>
      <w:pPr>
        <w:pStyle w:val="CaptionedFigure"/>
      </w:pPr>
      <w:r>
        <w:drawing>
          <wp:inline>
            <wp:extent cx="5600700" cy="3901811"/>
            <wp:effectExtent b="0" l="0" r="0" t="0"/>
            <wp:docPr descr="24. Internet fibra" title="" id="84" name="Picture"/>
            <a:graphic>
              <a:graphicData uri="http://schemas.openxmlformats.org/drawingml/2006/picture">
                <pic:pic>
                  <pic:nvPicPr>
                    <pic:cNvPr descr="03_Outputs/Bioenergetica_Norte/03_Ordenamiento/figuras/fig_14_internet_fibra.png" id="85" name="Picture"/>
                    <pic:cNvPicPr>
                      <a:picLocks noChangeArrowheads="1" noChangeAspect="1"/>
                    </pic:cNvPicPr>
                  </pic:nvPicPr>
                  <pic:blipFill>
                    <a:blip r:embed="rId83"/>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24. Internet fibra</w:t>
      </w:r>
    </w:p>
    <w:bookmarkEnd w:id="86"/>
    <w:bookmarkEnd w:id="87"/>
    <w:bookmarkStart w:id="109" w:name="X7789ff49533ce420e7ec7271f749e0c5d064d21"/>
    <w:p>
      <w:pPr>
        <w:pStyle w:val="Heading3"/>
      </w:pPr>
      <w:r>
        <w:t xml:space="preserve">Gobernabilidad y capacidades territoriales</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En resumen — Gobernabilidad y capacidades territoriales</w:t>
            </w:r>
          </w:p>
        </w:tc>
      </w:tr>
      <w:tr>
        <w:tc>
          <w:tcPr/>
          <w:p>
            <w:pPr>
              <w:pStyle w:val="Compact"/>
              <w:jc w:val="left"/>
            </w:pPr>
            <w:r>
              <w:t xml:space="preserve">Mayor ICM: San José de la Montaña (44,1)</w:t>
            </w:r>
          </w:p>
        </w:tc>
      </w:tr>
      <w:tr>
        <w:tc>
          <w:tcPr/>
          <w:p>
            <w:pPr>
              <w:pStyle w:val="Compact"/>
              <w:jc w:val="left"/>
            </w:pPr>
            <w:r>
              <w:t xml:space="preserve">Ingresos de inversión 2026 (PGN+SGP+SGR+propios+otros): 463.207.938.144</w:t>
            </w:r>
          </w:p>
        </w:tc>
      </w:tr>
    </w:tbl>
    <w:bookmarkStart w:id="88" w:name="gobernabilidad"/>
    <w:p>
      <w:pPr>
        <w:pStyle w:val="Heading4"/>
      </w:pPr>
      <w:r>
        <w:t xml:space="preserve">Gobernabilidad</w:t>
      </w:r>
    </w:p>
    <w:p>
      <w:pPr>
        <w:pStyle w:val="FirstParagraph"/>
      </w:pPr>
      <w:r>
        <w:t xml:space="preserve">La capacidad de gestión de los municipios determina si una apuesta provincial se ejecuta o se queda en el papel. En la Medición de Desempeño Municipal de 2024, Carolina del Príncipe (71,6) y Valdivia (65,7) obtienen los puntajes más altos de la Provincia y Campamento (37,4) y San José de la Montaña (38,8) los más bajos, con una diferencia de 34,2 puntos entre los extremos.</w:t>
      </w:r>
    </w:p>
    <w:p>
      <w:pPr>
        <w:pStyle w:val="BodyText"/>
      </w:pPr>
      <w:r>
        <w:t xml:space="preserve">El MDM no se promedia entre municipios y este informe no publica un valor provincial: el DNP compara a cada municipio dentro de su grupo de capacidades iniciales, de modo que un promedio entre grupos distintos no tendría lectura. Lo que sí es legítimo leer es la dispersión: una Provincia con municipios en extremos opuestos necesita que el esquema asociativo compense, no solo que coordine.</w:t>
      </w:r>
    </w:p>
    <w:p>
      <w:pPr>
        <w:pStyle w:val="BlockText"/>
      </w:pPr>
      <w:r>
        <w:rPr>
          <w:b/>
          <w:bCs/>
        </w:rPr>
        <w:t xml:space="preserve">Verificar con el equipo</w:t>
      </w:r>
      <w:r>
        <w:t xml:space="preserve"> </w:t>
      </w:r>
      <w:r>
        <w:t xml:space="preserve">— qué explica el desempeño de los municipios en los extremos —rotación de personal, tamaño de la planta, acompañamiento departamental— y si el esquema asociativo tiene hoy capacidad técnica propia.</w:t>
      </w:r>
    </w:p>
    <w:bookmarkEnd w:id="88"/>
    <w:bookmarkStart w:id="89" w:name="finanzas-territoriales"/>
    <w:p>
      <w:pPr>
        <w:pStyle w:val="Heading4"/>
      </w:pPr>
      <w:r>
        <w:t xml:space="preserve">Finanzas territoriales</w:t>
      </w:r>
    </w:p>
    <w:p>
      <w:pPr>
        <w:pStyle w:val="FirstParagraph"/>
      </w:pPr>
      <w:r>
        <w:t xml:space="preserve">El Índice de Desempeño Fiscal de 2024 ubica a Gómez Plata (69,0) e Ituango (57,1) en la parte alta de la Provincia y a San Andrés de Cuerquía (34,3) y Campamento (40,4) en la baja. Como el MDM, tampoco admite promedio provincial. El indicador resume la capacidad de generar recursos propios y de sostener el gasto: es el techo real de cualquier compromiso de cofinanciación que el Plan les pida asumir.</w:t>
      </w:r>
    </w:p>
    <w:p>
      <w:pPr>
        <w:pStyle w:val="BodyText"/>
      </w:pPr>
      <w:r>
        <w:t xml:space="preserve">El indicador de la Ley 617 —gastos de funcionamiento sobre ingresos corrientes de libre destinación— se publica por municipio y no se agrega: es un cociente institucional medido contra el techo legal de cada categoría, y no existe un 617 provincial. En la Provincia va de 0,0 % a 81,0 %.</w:t>
      </w:r>
    </w:p>
    <w:p>
      <w:pPr>
        <w:pStyle w:val="BlockText"/>
      </w:pPr>
      <w:r>
        <w:rPr>
          <w:b/>
          <w:bCs/>
        </w:rPr>
        <w:t xml:space="preserve">Verificar con el equipo</w:t>
      </w:r>
      <w:r>
        <w:t xml:space="preserve"> </w:t>
      </w:r>
      <w:r>
        <w:t xml:space="preserve">— el margen real de inversión de cada municipio una vez descontado el funcionamiento y el servicio de la deuda, y qué fuentes de cofinanciación —regalías, SGP, cooperación— están disponibles para la Provincia.</w:t>
      </w:r>
    </w:p>
    <w:bookmarkEnd w:id="89"/>
    <w:bookmarkStart w:id="108" w:name="índice-de-ciudades-modernas-icm"/>
    <w:p>
      <w:pPr>
        <w:pStyle w:val="Heading4"/>
      </w:pPr>
      <w:r>
        <w:t xml:space="preserve">Índice de Ciudades Modernas (ICM)</w:t>
      </w:r>
    </w:p>
    <w:p>
      <w:pPr>
        <w:pStyle w:val="FirstParagraph"/>
      </w:pPr>
      <w:r>
        <w:t xml:space="preserve">El Índice de Ciudades Modernas resume en un solo número seis dimensiones del desarrollo territorial. En 2024, San José de la Montaña (44,1) y Gómez Plata (43,6) encabezan la Provincia, cuyo promedio ponderado por población es de 39,9, por debajo del departamento (59,2), con una diferencia de 33 %.</w:t>
      </w:r>
    </w:p>
    <w:p>
      <w:pPr>
        <w:pStyle w:val="BodyText"/>
      </w:pPr>
      <w:r>
        <w:t xml:space="preserve">Desagregado por dimensiones, el punto más fuerte de la Provincia es equidad e inclusión social (54,6) y el más débil condiciones de vida (21,5). Esa asimetría es más útil para el Plan que el índice agregado: señala dónde una intervención encuentra base sobre la cual construir y dónde tendría que empezar de cero.</w:t>
      </w:r>
    </w:p>
    <w:p>
      <w:pPr>
        <w:pStyle w:val="BlockText"/>
      </w:pPr>
      <w:r>
        <w:rPr>
          <w:b/>
          <w:bCs/>
        </w:rPr>
        <w:t xml:space="preserve">Verificar con el equipo</w:t>
      </w:r>
      <w:r>
        <w:t xml:space="preserve"> </w:t>
      </w:r>
      <w:r>
        <w:t xml:space="preserve">— la evolución del ICM en la serie disponible: si la Provincia converge o diverge respecto del departamento, que es una lectura de tendencia y no de nivel.</w:t>
      </w:r>
    </w:p>
    <w:p>
      <w:pPr>
        <w:pStyle w:val="CaptionedFigure"/>
      </w:pPr>
      <w:r>
        <w:drawing>
          <wp:inline>
            <wp:extent cx="5600700" cy="3901811"/>
            <wp:effectExtent b="0" l="0" r="0" t="0"/>
            <wp:docPr descr="25. Mdm" title="" id="91" name="Picture"/>
            <a:graphic>
              <a:graphicData uri="http://schemas.openxmlformats.org/drawingml/2006/picture">
                <pic:pic>
                  <pic:nvPicPr>
                    <pic:cNvPr descr="03_Outputs/Bioenergetica_Norte/04_Gobernabilidad/figuras/fig_01_mdm.png" id="92" name="Picture"/>
                    <pic:cNvPicPr>
                      <a:picLocks noChangeArrowheads="1" noChangeAspect="1"/>
                    </pic:cNvPicPr>
                  </pic:nvPicPr>
                  <pic:blipFill>
                    <a:blip r:embed="rId90"/>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25. Mdm</w:t>
      </w:r>
    </w:p>
    <w:p>
      <w:pPr>
        <w:pStyle w:val="CaptionedFigure"/>
      </w:pPr>
      <w:r>
        <w:drawing>
          <wp:inline>
            <wp:extent cx="5600700" cy="3901811"/>
            <wp:effectExtent b="0" l="0" r="0" t="0"/>
            <wp:docPr descr="26. Idf" title="" id="94" name="Picture"/>
            <a:graphic>
              <a:graphicData uri="http://schemas.openxmlformats.org/drawingml/2006/picture">
                <pic:pic>
                  <pic:nvPicPr>
                    <pic:cNvPr descr="03_Outputs/Bioenergetica_Norte/04_Gobernabilidad/figuras/fig_02_idf.png" id="95" name="Picture"/>
                    <pic:cNvPicPr>
                      <a:picLocks noChangeArrowheads="1" noChangeAspect="1"/>
                    </pic:cNvPicPr>
                  </pic:nvPicPr>
                  <pic:blipFill>
                    <a:blip r:embed="rId93"/>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26. Idf</w:t>
      </w:r>
    </w:p>
    <w:p>
      <w:pPr>
        <w:pStyle w:val="CaptionedFigure"/>
      </w:pPr>
      <w:r>
        <w:drawing>
          <wp:inline>
            <wp:extent cx="5600700" cy="3709092"/>
            <wp:effectExtent b="0" l="0" r="0" t="0"/>
            <wp:docPr descr="27. Ley617" title="" id="97" name="Picture"/>
            <a:graphic>
              <a:graphicData uri="http://schemas.openxmlformats.org/drawingml/2006/picture">
                <pic:pic>
                  <pic:nvPicPr>
                    <pic:cNvPr descr="03_Outputs/Bioenergetica_Norte/04_Gobernabilidad/figuras/fig_03_ley617.png" id="98" name="Picture"/>
                    <pic:cNvPicPr>
                      <a:picLocks noChangeArrowheads="1" noChangeAspect="1"/>
                    </pic:cNvPicPr>
                  </pic:nvPicPr>
                  <pic:blipFill>
                    <a:blip r:embed="rId96"/>
                    <a:stretch>
                      <a:fillRect/>
                    </a:stretch>
                  </pic:blipFill>
                  <pic:spPr bwMode="auto">
                    <a:xfrm>
                      <a:off x="0" y="0"/>
                      <a:ext cx="5600700" cy="3709092"/>
                    </a:xfrm>
                    <a:prstGeom prst="rect">
                      <a:avLst/>
                    </a:prstGeom>
                    <a:noFill/>
                    <a:ln w="9525">
                      <a:noFill/>
                      <a:headEnd/>
                      <a:tailEnd/>
                    </a:ln>
                  </pic:spPr>
                </pic:pic>
              </a:graphicData>
            </a:graphic>
          </wp:inline>
        </w:drawing>
      </w:r>
    </w:p>
    <w:p>
      <w:pPr>
        <w:pStyle w:val="ImageCaption"/>
      </w:pPr>
      <w:r>
        <w:t xml:space="preserve">27. Ley617</w:t>
      </w:r>
    </w:p>
    <w:p>
      <w:pPr>
        <w:pStyle w:val="CaptionedFigure"/>
      </w:pPr>
      <w:r>
        <w:drawing>
          <wp:inline>
            <wp:extent cx="5600700" cy="3901811"/>
            <wp:effectExtent b="0" l="0" r="0" t="0"/>
            <wp:docPr descr="28. Icm" title="" id="100" name="Picture"/>
            <a:graphic>
              <a:graphicData uri="http://schemas.openxmlformats.org/drawingml/2006/picture">
                <pic:pic>
                  <pic:nvPicPr>
                    <pic:cNvPr descr="03_Outputs/Bioenergetica_Norte/04_Gobernabilidad/figuras/fig_04_icm.png" id="101" name="Picture"/>
                    <pic:cNvPicPr>
                      <a:picLocks noChangeArrowheads="1" noChangeAspect="1"/>
                    </pic:cNvPicPr>
                  </pic:nvPicPr>
                  <pic:blipFill>
                    <a:blip r:embed="rId99"/>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28. Icm</w:t>
      </w:r>
    </w:p>
    <w:p>
      <w:pPr>
        <w:pStyle w:val="CaptionedFigure"/>
      </w:pPr>
      <w:r>
        <w:drawing>
          <wp:inline>
            <wp:extent cx="5600700" cy="4865404"/>
            <wp:effectExtent b="0" l="0" r="0" t="0"/>
            <wp:docPr descr="29. Icm dimensiones" title="" id="103" name="Picture"/>
            <a:graphic>
              <a:graphicData uri="http://schemas.openxmlformats.org/drawingml/2006/picture">
                <pic:pic>
                  <pic:nvPicPr>
                    <pic:cNvPr descr="03_Outputs/Bioenergetica_Norte/04_Gobernabilidad/figuras/fig_05_icm_dimensiones.png" id="104" name="Picture"/>
                    <pic:cNvPicPr>
                      <a:picLocks noChangeArrowheads="1" noChangeAspect="1"/>
                    </pic:cNvPicPr>
                  </pic:nvPicPr>
                  <pic:blipFill>
                    <a:blip r:embed="rId102"/>
                    <a:stretch>
                      <a:fillRect/>
                    </a:stretch>
                  </pic:blipFill>
                  <pic:spPr bwMode="auto">
                    <a:xfrm>
                      <a:off x="0" y="0"/>
                      <a:ext cx="5600700" cy="4865404"/>
                    </a:xfrm>
                    <a:prstGeom prst="rect">
                      <a:avLst/>
                    </a:prstGeom>
                    <a:noFill/>
                    <a:ln w="9525">
                      <a:noFill/>
                      <a:headEnd/>
                      <a:tailEnd/>
                    </a:ln>
                  </pic:spPr>
                </pic:pic>
              </a:graphicData>
            </a:graphic>
          </wp:inline>
        </w:drawing>
      </w:r>
    </w:p>
    <w:p>
      <w:pPr>
        <w:pStyle w:val="ImageCaption"/>
      </w:pPr>
      <w:r>
        <w:t xml:space="preserve">29. Icm dimensiones</w:t>
      </w:r>
    </w:p>
    <w:p>
      <w:pPr>
        <w:pStyle w:val="CaptionedFigure"/>
      </w:pPr>
      <w:r>
        <w:drawing>
          <wp:inline>
            <wp:extent cx="5600700" cy="2798867"/>
            <wp:effectExtent b="0" l="0" r="0" t="0"/>
            <wp:docPr descr="30. Icm tendencia" title="" id="106" name="Picture"/>
            <a:graphic>
              <a:graphicData uri="http://schemas.openxmlformats.org/drawingml/2006/picture">
                <pic:pic>
                  <pic:nvPicPr>
                    <pic:cNvPr descr="03_Outputs/Bioenergetica_Norte/04_Gobernabilidad/figuras/fig_06_icm_tendencia.png" id="107" name="Picture"/>
                    <pic:cNvPicPr>
                      <a:picLocks noChangeArrowheads="1" noChangeAspect="1"/>
                    </pic:cNvPicPr>
                  </pic:nvPicPr>
                  <pic:blipFill>
                    <a:blip r:embed="rId105"/>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30. Icm tendencia</w:t>
      </w:r>
    </w:p>
    <w:bookmarkEnd w:id="108"/>
    <w:bookmarkEnd w:id="109"/>
    <w:bookmarkStart w:id="165" w:name="economía-y-desarrollo"/>
    <w:p>
      <w:pPr>
        <w:pStyle w:val="Heading3"/>
      </w:pPr>
      <w:r>
        <w:t xml:space="preserve">Economía y desarrollo</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Economía y desarrollo</w:t>
            </w:r>
          </w:p>
        </w:tc>
      </w:tr>
      <w:tr>
        <w:tc>
          <w:tcPr/>
          <w:p>
            <w:pPr>
              <w:pStyle w:val="Compact"/>
              <w:jc w:val="left"/>
            </w:pPr>
            <w:r>
              <w:t xml:space="preserve">Mayor valor agregado per cápita: Gómez Plata (33.839.660)</w:t>
            </w:r>
          </w:p>
        </w:tc>
      </w:tr>
      <w:tr>
        <w:tc>
          <w:tcPr/>
          <w:p>
            <w:pPr>
              <w:pStyle w:val="Compact"/>
              <w:jc w:val="left"/>
            </w:pPr>
            <w:r>
              <w:t xml:space="preserve">Valor agregado per cápita provincial: 12.674.756</w:t>
            </w:r>
          </w:p>
        </w:tc>
      </w:tr>
    </w:tbl>
    <w:p>
      <w:pPr>
        <w:pStyle w:val="BodyText"/>
      </w:pPr>
      <w:r>
        <w:t xml:space="preserve">Esta sección describe de qué vive la Provincia Bioenergética del Norte de Antioquia y en qué condiciones lo hace. Ordena cuatro asuntos: las condiciones de vida y el mercado laboral, la productividad medida por el valor agregado, la actividad minero-energética y el turismo. El hilo que los une es la pregunta de cuánta de la riqueza que se genera en el territorio se queda en él.</w:t>
      </w:r>
    </w:p>
    <w:bookmarkStart w:id="110" w:name="pobreza-y-mercado-laboral"/>
    <w:p>
      <w:pPr>
        <w:pStyle w:val="Heading4"/>
      </w:pPr>
      <w:r>
        <w:t xml:space="preserve">Pobreza y mercado laboral</w:t>
      </w:r>
    </w:p>
    <w:p>
      <w:pPr>
        <w:pStyle w:val="FirstParagraph"/>
      </w:pPr>
      <w:r>
        <w:t xml:space="preserve">La pobreza medida por Necesidades Básicas Insatisfechas alcanza sus valores más altos en Anorí (31,0 %), Campamento (28,9 %) y Briceño (28,0 %) y los más bajos en Gómez Plata (9,4 %) y Yarumal (12,2 %). En el conjunto de la Provincia afecta al 19,8 % de las personas, por encima del departamento (11,4 %), con una diferencia de 8,5 puntos porcentuales. En el mapa, los 3 municipios con los valores más altos forman un patrón parcialmente contiguo.</w:t>
      </w:r>
    </w:p>
    <w:p>
      <w:pPr>
        <w:pStyle w:val="BodyText"/>
      </w:pPr>
      <w:r>
        <w:t xml:space="preserve">La lectura urbano-rural es más severa que la agregada: en Anorí, el NBI rural llega al 37,8 %. La pobreza de esta Provincia es fundamentalmente rural, y eso significa que se resuelve con bienes públicos —agua, saneamiento, vía, escuela— antes que con transferencias.</w:t>
      </w:r>
    </w:p>
    <w:p>
      <w:pPr>
        <w:pStyle w:val="BodyText"/>
      </w:pPr>
      <w:r>
        <w:t xml:space="preserve">El Índice de Pobreza Multidimensional, que mide privaciones en educación, salud, trabajo y condiciones de la vivienda, sitúa a la Provincia en 20,6 %. Las dos medidas —NBI e IPM— coinciden en el diagnóstico y difieren en el detalle: la primera señala carencias estructurales de la vivienda y la segunda añade las del acceso a servicios y al empleo.</w:t>
      </w:r>
    </w:p>
    <w:p>
      <w:pPr>
        <w:pStyle w:val="BodyText"/>
      </w:pPr>
      <w:r>
        <w:t xml:space="preserve">En el mercado laboral, la informalidad promedio de los municipios de la Provincia es del 71,0 % y alcanza sus máximos en Ituango (87,2 %) y Valdivia (80,2 %), con una tasa de ocupación promedio del 47,5 %. La informalidad no es solo un problema de ingresos: define la base tributaria del municipio, el acceso a la seguridad social y la composición del aseguramiento en salud que se describe más adelante.</w:t>
      </w:r>
    </w:p>
    <w:p>
      <w:pPr>
        <w:pStyle w:val="BodyText"/>
      </w:pPr>
      <w:r>
        <w:t xml:space="preserve">Entre la población joven, la proporción que no estudia ni trabaja es más alta en San José de la Montaña (34,5 %) y Gómez Plata (32,6 %). Es el indicador que conecta esta sección con la de educación y con la de seguridad: un joven fuera del sistema educativo y del mercado laboral formal es, en términos de política pública, una oportunidad perdida y un riesgo.</w:t>
      </w:r>
    </w:p>
    <w:p>
      <w:pPr>
        <w:pStyle w:val="BlockText"/>
      </w:pPr>
      <w:r>
        <w:rPr>
          <w:b/>
          <w:bCs/>
        </w:rPr>
        <w:t xml:space="preserve">Verificar con el equipo</w:t>
      </w:r>
      <w:r>
        <w:t xml:space="preserve"> </w:t>
      </w:r>
      <w:r>
        <w:t xml:space="preserve">— qué actividades absorben el empleo informal en la Provincia y si existen procesos de formalización en marcha. La ECV mide la condición, no el sector que la genera.</w:t>
      </w:r>
    </w:p>
    <w:bookmarkEnd w:id="110"/>
    <w:bookmarkStart w:id="111" w:name="productividad-y-competitividad"/>
    <w:p>
      <w:pPr>
        <w:pStyle w:val="Heading4"/>
      </w:pPr>
      <w:r>
        <w:t xml:space="preserve">Productividad y competitividad</w:t>
      </w:r>
    </w:p>
    <w:p>
      <w:pPr>
        <w:pStyle w:val="FirstParagraph"/>
      </w:pPr>
      <w:r>
        <w:t xml:space="preserve">En 2024, la generación de valor agregado de la Provincia está concentrada: Yarumal y Gómez Plata reúnen el 43 % del total. El valor agregado por habitante es mayor en Gómez Plata (33.839.660) y Toledo (16.152.099) y menor en Campamento (7.743.424) e Ituango (8.398.825), una brecha que describe territorios con capacidades productivas muy distintas dentro del mismo esquema asociativo.</w:t>
      </w:r>
    </w:p>
    <w:p>
      <w:pPr>
        <w:pStyle w:val="BodyText"/>
      </w:pPr>
      <w:r>
        <w:t xml:space="preserve">Por composición sectorial, las actividades primarias aportan el 14,4 % del valor agregado provincial, las secundarias el 10,6 % y las terciarias el 67,1 %. Los tres agregados no suman el total: la serie a precios constantes deja un remanente sin distribuir, de modo que las participaciones se calculan siempre sobre el valor agregado total y no sobre la suma de los tres.</w:t>
      </w:r>
    </w:p>
    <w:p>
      <w:pPr>
        <w:pStyle w:val="BodyText"/>
      </w:pPr>
      <w:r>
        <w:t xml:space="preserve">Las cifras van a precios constantes de 2015. El Anexo 1 publicó esta misma tabla a precios corrientes, de modo que los dos valores son correctos y no son comparables entre sí: la diferencia es el deflactor, no un cambio en la economía de la Provincia.</w:t>
      </w:r>
    </w:p>
    <w:p>
      <w:pPr>
        <w:pStyle w:val="BodyText"/>
      </w:pPr>
      <w:r>
        <w:t xml:space="preserve">La densidad empresarial —empresas registradas por cada mil habitantes— es mayor en Toledo (29,86) y Yarumal (26,48), con un promedio provincial ponderado de 18,49. Es una medida de formalización tanto como de actividad: donde la densidad es baja, buena parte de la economía existe pero no está registrada, lo que la deja fuera del crédito, de la contratación pública y de los programas de apoyo empresarial.</w:t>
      </w:r>
    </w:p>
    <w:p>
      <w:pPr>
        <w:pStyle w:val="BlockText"/>
      </w:pPr>
      <w:r>
        <w:rPr>
          <w:b/>
          <w:bCs/>
        </w:rPr>
        <w:t xml:space="preserve">Verificar con el equipo</w:t>
      </w:r>
      <w:r>
        <w:t xml:space="preserve"> </w:t>
      </w:r>
      <w:r>
        <w:t xml:space="preserve">— qué cadenas productivas concretas explican el valor agregado de los municipios que lo concentran, y si existen encadenamientos entre municipios de la Provincia o cada uno se articula por separado hacia afuera.</w:t>
      </w:r>
    </w:p>
    <w:bookmarkEnd w:id="111"/>
    <w:bookmarkStart w:id="112" w:name="mercado-minero-energético"/>
    <w:p>
      <w:pPr>
        <w:pStyle w:val="Heading4"/>
      </w:pPr>
      <w:r>
        <w:t xml:space="preserve">Mercado minero-energético</w:t>
      </w:r>
    </w:p>
    <w:p>
      <w:pPr>
        <w:pStyle w:val="FirstParagraph"/>
      </w:pPr>
      <w:r>
        <w:t xml:space="preserve">La Provincia alberga 11 centrales de generación con una capacidad efectiva neta de 2.428,30 MW, encabezadas por ITUANGO (1.200,00 MW). La generación eléctrica es la actividad que mejor ilustra la pregunta de esta sección: produce valor en el territorio sin que ese valor se traduzca necesariamente en empleo local ni en ingresos municipales más allá de las transferencias del sector.</w:t>
      </w:r>
    </w:p>
    <w:p>
      <w:pPr>
        <w:pStyle w:val="BodyText"/>
      </w:pPr>
      <w:r>
        <w:t xml:space="preserve">Esa capacidad representa el 38,2 % de la de Antioquia y el 10,6 % del Sistema Interconectado Nacional.</w:t>
      </w:r>
    </w:p>
    <w:p>
      <w:pPr>
        <w:pStyle w:val="BodyText"/>
      </w:pPr>
      <w:r>
        <w:t xml:space="preserve">En minería, la Provincia registra títulos vigentes sobre 33 tipos de mineral. Los más frecuentes son mineral de oro (49 títulos), carbón metalúrgico (25 títulos) y carbón térmico (22 títulos). Se cuentan títulos activos distintos: uno que ampara varios minerales cuenta en cada uno, y uno que cubre varios municipios cuenta una sola vez.</w:t>
      </w:r>
    </w:p>
    <w:p>
      <w:pPr>
        <w:pStyle w:val="BlockText"/>
      </w:pPr>
      <w:r>
        <w:rPr>
          <w:b/>
          <w:bCs/>
        </w:rPr>
        <w:t xml:space="preserve">Verificar con el equipo</w:t>
      </w:r>
      <w:r>
        <w:t xml:space="preserve"> </w:t>
      </w:r>
      <w:r>
        <w:t xml:space="preserve">— qué parte de la actividad minera es formal y qué parte no, y cómo se distribuyen las regalías y las transferencias del sector eléctrico entre los municipios de la Provincia.</w:t>
      </w:r>
    </w:p>
    <w:bookmarkEnd w:id="112"/>
    <w:bookmarkStart w:id="164" w:name="turismo"/>
    <w:p>
      <w:pPr>
        <w:pStyle w:val="Heading4"/>
      </w:pPr>
      <w:r>
        <w:t xml:space="preserve">Turismo</w:t>
      </w:r>
    </w:p>
    <w:p>
      <w:pPr>
        <w:pStyle w:val="FirstParagraph"/>
      </w:pPr>
      <w:r>
        <w:t xml:space="preserve">En 2026, la Provincia recibió 18 visitantes extranjeros no residentes, el 0,0 % del total departamental. La cifra cuenta visitantes extranjeros, no turistas totales: el turismo interno, que en territorios como este suele ser el grueso, no está en esta fuente.</w:t>
      </w:r>
    </w:p>
    <w:p>
      <w:pPr>
        <w:pStyle w:val="BodyText"/>
      </w:pPr>
      <w:r>
        <w:t xml:space="preserve">En instrumentos de planificación turística, 5 de los 13 municipios cuentan con Plan Local de Turismo y 8 con Mesa Local. La capacidad de gestión del turismo antecede a la llegada de visitantes: sin instrumento local, la actividad crece sin ordenamiento y sus beneficios se capturan fuera del municipio.</w:t>
      </w:r>
    </w:p>
    <w:p>
      <w:pPr>
        <w:pStyle w:val="BlockText"/>
      </w:pPr>
      <w:r>
        <w:rPr>
          <w:b/>
          <w:bCs/>
        </w:rPr>
        <w:t xml:space="preserve">Verificar con el equipo</w:t>
      </w:r>
      <w:r>
        <w:t xml:space="preserve"> </w:t>
      </w:r>
      <w:r>
        <w:t xml:space="preserve">— qué atractivos concretos tiene la Provincia y en qué estado están sus inventarios turísticos, y si el turismo aparece como Hecho Provincial en la versión preliminar del Plan.</w:t>
      </w:r>
    </w:p>
    <w:p>
      <w:pPr>
        <w:pStyle w:val="CaptionedFigure"/>
      </w:pPr>
      <w:r>
        <w:drawing>
          <wp:inline>
            <wp:extent cx="5600700" cy="3851407"/>
            <wp:effectExtent b="0" l="0" r="0" t="0"/>
            <wp:docPr descr="31. Va per cápita" title="" id="114" name="Picture"/>
            <a:graphic>
              <a:graphicData uri="http://schemas.openxmlformats.org/drawingml/2006/picture">
                <pic:pic>
                  <pic:nvPicPr>
                    <pic:cNvPr descr="03_Outputs/Bioenergetica_Norte/05_Economia/figuras/mapa_05_va_percapita.png" id="115" name="Picture"/>
                    <pic:cNvPicPr>
                      <a:picLocks noChangeArrowheads="1" noChangeAspect="1"/>
                    </pic:cNvPicPr>
                  </pic:nvPicPr>
                  <pic:blipFill>
                    <a:blip r:embed="rId113"/>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31. Va per cápita</w:t>
      </w:r>
    </w:p>
    <w:p>
      <w:pPr>
        <w:pStyle w:val="CaptionedFigure"/>
      </w:pPr>
      <w:r>
        <w:drawing>
          <wp:inline>
            <wp:extent cx="5600700" cy="3901811"/>
            <wp:effectExtent b="0" l="0" r="0" t="0"/>
            <wp:docPr descr="32. Pobreza NBI" title="" id="117" name="Picture"/>
            <a:graphic>
              <a:graphicData uri="http://schemas.openxmlformats.org/drawingml/2006/picture">
                <pic:pic>
                  <pic:nvPicPr>
                    <pic:cNvPr descr="03_Outputs/Bioenergetica_Norte/05_Economia/figuras/fig_01_pobreza_nbi.png" id="118" name="Picture"/>
                    <pic:cNvPicPr>
                      <a:picLocks noChangeArrowheads="1" noChangeAspect="1"/>
                    </pic:cNvPicPr>
                  </pic:nvPicPr>
                  <pic:blipFill>
                    <a:blip r:embed="rId116"/>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32. Pobreza NBI</w:t>
      </w:r>
    </w:p>
    <w:p>
      <w:pPr>
        <w:pStyle w:val="CaptionedFigure"/>
      </w:pPr>
      <w:r>
        <w:drawing>
          <wp:inline>
            <wp:extent cx="5600700" cy="3901811"/>
            <wp:effectExtent b="0" l="0" r="0" t="0"/>
            <wp:docPr descr="33. Pobreza IPM" title="" id="120" name="Picture"/>
            <a:graphic>
              <a:graphicData uri="http://schemas.openxmlformats.org/drawingml/2006/picture">
                <pic:pic>
                  <pic:nvPicPr>
                    <pic:cNvPr descr="03_Outputs/Bioenergetica_Norte/05_Economia/figuras/fig_02_pobreza_ipm.png" id="121" name="Picture"/>
                    <pic:cNvPicPr>
                      <a:picLocks noChangeArrowheads="1" noChangeAspect="1"/>
                    </pic:cNvPicPr>
                  </pic:nvPicPr>
                  <pic:blipFill>
                    <a:blip r:embed="rId119"/>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33. Pobreza IPM</w:t>
      </w:r>
    </w:p>
    <w:p>
      <w:pPr>
        <w:pStyle w:val="CaptionedFigure"/>
      </w:pPr>
      <w:r>
        <w:drawing>
          <wp:inline>
            <wp:extent cx="5600700" cy="3901811"/>
            <wp:effectExtent b="0" l="0" r="0" t="0"/>
            <wp:docPr descr="34. Gini hogar laboral" title="" id="123" name="Picture"/>
            <a:graphic>
              <a:graphicData uri="http://schemas.openxmlformats.org/drawingml/2006/picture">
                <pic:pic>
                  <pic:nvPicPr>
                    <pic:cNvPr descr="03_Outputs/Bioenergetica_Norte/05_Economia/figuras/fig_03_gini_hogar_laboral.png" id="124" name="Picture"/>
                    <pic:cNvPicPr>
                      <a:picLocks noChangeArrowheads="1" noChangeAspect="1"/>
                    </pic:cNvPicPr>
                  </pic:nvPicPr>
                  <pic:blipFill>
                    <a:blip r:embed="rId122"/>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34. Gini hogar laboral</w:t>
      </w:r>
    </w:p>
    <w:p>
      <w:pPr>
        <w:pStyle w:val="CaptionedFigure"/>
      </w:pPr>
      <w:r>
        <w:drawing>
          <wp:inline>
            <wp:extent cx="5600700" cy="3901811"/>
            <wp:effectExtent b="0" l="0" r="0" t="0"/>
            <wp:docPr descr="35. Ocupación informalidad" title="" id="126" name="Picture"/>
            <a:graphic>
              <a:graphicData uri="http://schemas.openxmlformats.org/drawingml/2006/picture">
                <pic:pic>
                  <pic:nvPicPr>
                    <pic:cNvPr descr="03_Outputs/Bioenergetica_Norte/05_Economia/figuras/fig_04_ocupacion_informalidad.png" id="127" name="Picture"/>
                    <pic:cNvPicPr>
                      <a:picLocks noChangeArrowheads="1" noChangeAspect="1"/>
                    </pic:cNvPicPr>
                  </pic:nvPicPr>
                  <pic:blipFill>
                    <a:blip r:embed="rId125"/>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35. Ocupación informalidad</w:t>
      </w:r>
    </w:p>
    <w:p>
      <w:pPr>
        <w:pStyle w:val="CaptionedFigure"/>
      </w:pPr>
      <w:r>
        <w:drawing>
          <wp:inline>
            <wp:extent cx="5600700" cy="3901811"/>
            <wp:effectExtent b="0" l="0" r="0" t="0"/>
            <wp:docPr descr="36. Desocupación total jovenes" title="" id="129" name="Picture"/>
            <a:graphic>
              <a:graphicData uri="http://schemas.openxmlformats.org/drawingml/2006/picture">
                <pic:pic>
                  <pic:nvPicPr>
                    <pic:cNvPr descr="03_Outputs/Bioenergetica_Norte/05_Economia/figuras/fig_05_desocupacion_total_jovenes.png" id="130" name="Picture"/>
                    <pic:cNvPicPr>
                      <a:picLocks noChangeArrowheads="1" noChangeAspect="1"/>
                    </pic:cNvPicPr>
                  </pic:nvPicPr>
                  <pic:blipFill>
                    <a:blip r:embed="rId128"/>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36. Desocupación total jovenes</w:t>
      </w:r>
    </w:p>
    <w:p>
      <w:pPr>
        <w:pStyle w:val="CaptionedFigure"/>
      </w:pPr>
      <w:r>
        <w:drawing>
          <wp:inline>
            <wp:extent cx="5600700" cy="3901811"/>
            <wp:effectExtent b="0" l="0" r="0" t="0"/>
            <wp:docPr descr="37. Jovenes NiNi" title="" id="132" name="Picture"/>
            <a:graphic>
              <a:graphicData uri="http://schemas.openxmlformats.org/drawingml/2006/picture">
                <pic:pic>
                  <pic:nvPicPr>
                    <pic:cNvPr descr="03_Outputs/Bioenergetica_Norte/05_Economia/figuras/fig_06_jovenes_nini.png" id="133" name="Picture"/>
                    <pic:cNvPicPr>
                      <a:picLocks noChangeArrowheads="1" noChangeAspect="1"/>
                    </pic:cNvPicPr>
                  </pic:nvPicPr>
                  <pic:blipFill>
                    <a:blip r:embed="rId131"/>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37. Jovenes NiNi</w:t>
      </w:r>
    </w:p>
    <w:p>
      <w:pPr>
        <w:pStyle w:val="CaptionedFigure"/>
      </w:pPr>
      <w:r>
        <w:drawing>
          <wp:inline>
            <wp:extent cx="5600700" cy="3901811"/>
            <wp:effectExtent b="0" l="0" r="0" t="0"/>
            <wp:docPr descr="38. Dependencia económica" title="" id="135" name="Picture"/>
            <a:graphic>
              <a:graphicData uri="http://schemas.openxmlformats.org/drawingml/2006/picture">
                <pic:pic>
                  <pic:nvPicPr>
                    <pic:cNvPr descr="03_Outputs/Bioenergetica_Norte/05_Economia/figuras/fig_07_dependencia_economica.png" id="136" name="Picture"/>
                    <pic:cNvPicPr>
                      <a:picLocks noChangeArrowheads="1" noChangeAspect="1"/>
                    </pic:cNvPicPr>
                  </pic:nvPicPr>
                  <pic:blipFill>
                    <a:blip r:embed="rId134"/>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38. Dependencia económica</w:t>
      </w:r>
    </w:p>
    <w:p>
      <w:pPr>
        <w:pStyle w:val="CaptionedFigure"/>
      </w:pPr>
      <w:r>
        <w:drawing>
          <wp:inline>
            <wp:extent cx="5600700" cy="3901811"/>
            <wp:effectExtent b="0" l="0" r="0" t="0"/>
            <wp:docPr descr="39. Densidad empresarial" title="" id="138" name="Picture"/>
            <a:graphic>
              <a:graphicData uri="http://schemas.openxmlformats.org/drawingml/2006/picture">
                <pic:pic>
                  <pic:nvPicPr>
                    <pic:cNvPr descr="03_Outputs/Bioenergetica_Norte/05_Economia/figuras/fig_08_densidad_empresarial.png" id="139" name="Picture"/>
                    <pic:cNvPicPr>
                      <a:picLocks noChangeArrowheads="1" noChangeAspect="1"/>
                    </pic:cNvPicPr>
                  </pic:nvPicPr>
                  <pic:blipFill>
                    <a:blip r:embed="rId137"/>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39. Densidad empresarial</w:t>
      </w:r>
    </w:p>
    <w:p>
      <w:pPr>
        <w:pStyle w:val="CaptionedFigure"/>
      </w:pPr>
      <w:r>
        <w:drawing>
          <wp:inline>
            <wp:extent cx="5600700" cy="3901811"/>
            <wp:effectExtent b="0" l="0" r="0" t="0"/>
            <wp:docPr descr="40. Valor agregado per capita" title="" id="141" name="Picture"/>
            <a:graphic>
              <a:graphicData uri="http://schemas.openxmlformats.org/drawingml/2006/picture">
                <pic:pic>
                  <pic:nvPicPr>
                    <pic:cNvPr descr="03_Outputs/Bioenergetica_Norte/05_Economia/figuras/fig_09_valor_agregado_per_capita.png" id="142" name="Picture"/>
                    <pic:cNvPicPr>
                      <a:picLocks noChangeArrowheads="1" noChangeAspect="1"/>
                    </pic:cNvPicPr>
                  </pic:nvPicPr>
                  <pic:blipFill>
                    <a:blip r:embed="rId140"/>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40. Valor agregado per capita</w:t>
      </w:r>
    </w:p>
    <w:p>
      <w:pPr>
        <w:pStyle w:val="CaptionedFigure"/>
      </w:pPr>
      <w:r>
        <w:drawing>
          <wp:inline>
            <wp:extent cx="5600700" cy="3901811"/>
            <wp:effectExtent b="0" l="0" r="0" t="0"/>
            <wp:docPr descr="41. Peso relativo valor agregado" title="" id="144" name="Picture"/>
            <a:graphic>
              <a:graphicData uri="http://schemas.openxmlformats.org/drawingml/2006/picture">
                <pic:pic>
                  <pic:nvPicPr>
                    <pic:cNvPr descr="03_Outputs/Bioenergetica_Norte/05_Economia/figuras/fig_10_peso_relativo_valor_agregado.png" id="145" name="Picture"/>
                    <pic:cNvPicPr>
                      <a:picLocks noChangeArrowheads="1" noChangeAspect="1"/>
                    </pic:cNvPicPr>
                  </pic:nvPicPr>
                  <pic:blipFill>
                    <a:blip r:embed="rId143"/>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41. Peso relativo valor agregado</w:t>
      </w:r>
    </w:p>
    <w:p>
      <w:pPr>
        <w:pStyle w:val="CaptionedFigure"/>
      </w:pPr>
      <w:r>
        <w:drawing>
          <wp:inline>
            <wp:extent cx="5600700" cy="3901811"/>
            <wp:effectExtent b="0" l="0" r="0" t="0"/>
            <wp:docPr descr="42. Composicion valor agregado" title="" id="147" name="Picture"/>
            <a:graphic>
              <a:graphicData uri="http://schemas.openxmlformats.org/drawingml/2006/picture">
                <pic:pic>
                  <pic:nvPicPr>
                    <pic:cNvPr descr="03_Outputs/Bioenergetica_Norte/05_Economia/figuras/fig_11_composicion_valor_agregado.png" id="148" name="Picture"/>
                    <pic:cNvPicPr>
                      <a:picLocks noChangeArrowheads="1" noChangeAspect="1"/>
                    </pic:cNvPicPr>
                  </pic:nvPicPr>
                  <pic:blipFill>
                    <a:blip r:embed="rId146"/>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42. Composicion valor agregado</w:t>
      </w:r>
    </w:p>
    <w:p>
      <w:pPr>
        <w:pStyle w:val="CaptionedFigure"/>
      </w:pPr>
      <w:r>
        <w:drawing>
          <wp:inline>
            <wp:extent cx="5600700" cy="3709092"/>
            <wp:effectExtent b="0" l="0" r="0" t="0"/>
            <wp:docPr descr="43. Valor agregado actividades" title="" id="150" name="Picture"/>
            <a:graphic>
              <a:graphicData uri="http://schemas.openxmlformats.org/drawingml/2006/picture">
                <pic:pic>
                  <pic:nvPicPr>
                    <pic:cNvPr descr="03_Outputs/Bioenergetica_Norte/05_Economia/figuras/fig_12_valor_agregado_actividades.png" id="151" name="Picture"/>
                    <pic:cNvPicPr>
                      <a:picLocks noChangeArrowheads="1" noChangeAspect="1"/>
                    </pic:cNvPicPr>
                  </pic:nvPicPr>
                  <pic:blipFill>
                    <a:blip r:embed="rId149"/>
                    <a:stretch>
                      <a:fillRect/>
                    </a:stretch>
                  </pic:blipFill>
                  <pic:spPr bwMode="auto">
                    <a:xfrm>
                      <a:off x="0" y="0"/>
                      <a:ext cx="5600700" cy="3709092"/>
                    </a:xfrm>
                    <a:prstGeom prst="rect">
                      <a:avLst/>
                    </a:prstGeom>
                    <a:noFill/>
                    <a:ln w="9525">
                      <a:noFill/>
                      <a:headEnd/>
                      <a:tailEnd/>
                    </a:ln>
                  </pic:spPr>
                </pic:pic>
              </a:graphicData>
            </a:graphic>
          </wp:inline>
        </w:drawing>
      </w:r>
    </w:p>
    <w:p>
      <w:pPr>
        <w:pStyle w:val="ImageCaption"/>
      </w:pPr>
      <w:r>
        <w:t xml:space="preserve">43. Valor agregado actividades</w:t>
      </w:r>
    </w:p>
    <w:p>
      <w:pPr>
        <w:pStyle w:val="CaptionedFigure"/>
      </w:pPr>
      <w:r>
        <w:drawing>
          <wp:inline>
            <wp:extent cx="5600700" cy="3519338"/>
            <wp:effectExtent b="0" l="0" r="0" t="0"/>
            <wp:docPr descr="44. Títulos mineros" title="" id="153" name="Picture"/>
            <a:graphic>
              <a:graphicData uri="http://schemas.openxmlformats.org/drawingml/2006/picture">
                <pic:pic>
                  <pic:nvPicPr>
                    <pic:cNvPr descr="03_Outputs/Bioenergetica_Norte/05_Economia/figuras/fig_13_titulos_mineros.png" id="154" name="Picture"/>
                    <pic:cNvPicPr>
                      <a:picLocks noChangeArrowheads="1" noChangeAspect="1"/>
                    </pic:cNvPicPr>
                  </pic:nvPicPr>
                  <pic:blipFill>
                    <a:blip r:embed="rId152"/>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44. Títulos mineros</w:t>
      </w:r>
    </w:p>
    <w:p>
      <w:pPr>
        <w:pStyle w:val="CaptionedFigure"/>
      </w:pPr>
      <w:r>
        <w:drawing>
          <wp:inline>
            <wp:extent cx="5600700" cy="2798867"/>
            <wp:effectExtent b="0" l="0" r="0" t="0"/>
            <wp:docPr descr="45. Visitantes extranjeros" title="" id="156" name="Picture"/>
            <a:graphic>
              <a:graphicData uri="http://schemas.openxmlformats.org/drawingml/2006/picture">
                <pic:pic>
                  <pic:nvPicPr>
                    <pic:cNvPr descr="03_Outputs/Bioenergetica_Norte/05_Economia/figuras/fig_14_visitantes_extranjeros.png" id="157" name="Picture"/>
                    <pic:cNvPicPr>
                      <a:picLocks noChangeArrowheads="1" noChangeAspect="1"/>
                    </pic:cNvPicPr>
                  </pic:nvPicPr>
                  <pic:blipFill>
                    <a:blip r:embed="rId155"/>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45. Visitantes extranjeros</w:t>
      </w:r>
    </w:p>
    <w:p>
      <w:pPr>
        <w:pStyle w:val="CaptionedFigure"/>
      </w:pPr>
      <w:r>
        <w:drawing>
          <wp:inline>
            <wp:extent cx="5600700" cy="2798867"/>
            <wp:effectExtent b="0" l="0" r="0" t="0"/>
            <wp:docPr descr="46. Participación visitantes" title="" id="159" name="Picture"/>
            <a:graphic>
              <a:graphicData uri="http://schemas.openxmlformats.org/drawingml/2006/picture">
                <pic:pic>
                  <pic:nvPicPr>
                    <pic:cNvPr descr="03_Outputs/Bioenergetica_Norte/05_Economia/figuras/fig_15_participacion_visitantes.png" id="160" name="Picture"/>
                    <pic:cNvPicPr>
                      <a:picLocks noChangeArrowheads="1" noChangeAspect="1"/>
                    </pic:cNvPicPr>
                  </pic:nvPicPr>
                  <pic:blipFill>
                    <a:blip r:embed="rId158"/>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46. Participación visitantes</w:t>
      </w:r>
    </w:p>
    <w:p>
      <w:pPr>
        <w:pStyle w:val="CaptionedFigure"/>
      </w:pPr>
      <w:r>
        <w:drawing>
          <wp:inline>
            <wp:extent cx="5600700" cy="3519338"/>
            <wp:effectExtent b="0" l="0" r="0" t="0"/>
            <wp:docPr descr="47. Capacidad instalada" title="" id="162" name="Picture"/>
            <a:graphic>
              <a:graphicData uri="http://schemas.openxmlformats.org/drawingml/2006/picture">
                <pic:pic>
                  <pic:nvPicPr>
                    <pic:cNvPr descr="03_Outputs/Bioenergetica_Norte/05_Economia/figuras/fig_16_capacidad_instalada.png" id="163" name="Picture"/>
                    <pic:cNvPicPr>
                      <a:picLocks noChangeArrowheads="1" noChangeAspect="1"/>
                    </pic:cNvPicPr>
                  </pic:nvPicPr>
                  <pic:blipFill>
                    <a:blip r:embed="rId161"/>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47. Capacidad instalada</w:t>
      </w:r>
    </w:p>
    <w:bookmarkEnd w:id="164"/>
    <w:bookmarkEnd w:id="165"/>
    <w:bookmarkStart w:id="181" w:name="desarrollo-rural"/>
    <w:p>
      <w:pPr>
        <w:pStyle w:val="Heading3"/>
      </w:pPr>
      <w:r>
        <w:t xml:space="preserve">Desarrollo Rural</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Desarrollo Rural</w:t>
            </w:r>
          </w:p>
        </w:tc>
      </w:tr>
      <w:tr>
        <w:tc>
          <w:tcPr/>
          <w:p>
            <w:pPr>
              <w:pStyle w:val="Compact"/>
              <w:jc w:val="left"/>
            </w:pPr>
            <w:r>
              <w:t xml:space="preserve">Total especies pecuarias: 469.301</w:t>
            </w:r>
          </w:p>
        </w:tc>
      </w:tr>
      <w:tr>
        <w:tc>
          <w:tcPr/>
          <w:p>
            <w:pPr>
              <w:pStyle w:val="Compact"/>
              <w:jc w:val="left"/>
            </w:pPr>
            <w:r>
              <w:t xml:space="preserve">Cultivos permanentes: 93,6 % del área agrícola</w:t>
            </w:r>
          </w:p>
        </w:tc>
      </w:tr>
    </w:tbl>
    <w:p>
      <w:pPr>
        <w:pStyle w:val="BodyText"/>
      </w:pPr>
      <w:r>
        <w:t xml:space="preserve">En una Provincia donde el 54,5 % de la población vive en zona rural, el desarrollo rural no es una sección sectorial más: es la descripción de la base económica de la mayoría de sus habitantes.</w:t>
      </w:r>
    </w:p>
    <w:p>
      <w:pPr>
        <w:pStyle w:val="BodyText"/>
      </w:pPr>
      <w:r>
        <w:t xml:space="preserve">El inventario pecuario de 2025 suma 469.301 cabezas en la Provincia, muy concentrada: Yarumal y Gómez Plata reúnen el 47 % del total. La composición está dominada por bovinos (274.946) y porcinos (180.307). El inventario no incluye aves: la fuente de este flujo no las reporta.</w:t>
      </w:r>
    </w:p>
    <w:p>
      <w:pPr>
        <w:pStyle w:val="BodyText"/>
      </w:pPr>
      <w:r>
        <w:t xml:space="preserve">En producción agrícola, 2025 muestra una actividad muy concentrada: Campamento y Angostura concentran el 57 % de las toneladas producidas en la Provincia. Los cultivos permanentes representan el 93,6 % de la producción, frente al 6,4 % de los transitorios. El predominio de permanentes indica una estructura productiva más estable pero también menos flexible ante un cambio de precios, porque la reconversión toma años.</w:t>
      </w:r>
    </w:p>
    <w:p>
      <w:pPr>
        <w:pStyle w:val="BodyText"/>
      </w:pPr>
      <w:r>
        <w:t xml:space="preserve">El cultivo permanente principal es caña en 8 de los 13 municipios de la Provincia. Que un mismo producto domine en tantos municipios define una vocación compartida, y con ella una oportunidad de acción conjunta —asistencia técnica, acopio, comercialización— que es exactamente el tipo de intervención que justifica un esquema asociativo.</w:t>
      </w:r>
    </w:p>
    <w:p>
      <w:pPr>
        <w:pStyle w:val="BodyText"/>
      </w:pPr>
      <w:r>
        <w:t xml:space="preserve">El rendimiento agregado —producción total sobre área cosechada— es mayor en Campamento (36,18) y Angostura (26,85) y menor en Toledo (2,05) y Valdivia (3,44), con un valor provincial de 17,97 toneladas por hectárea. El rendimiento provincial se recalcula sobre las sumas y no promedia los rendimientos municipales, que darían un número distinto y sobrerrepresentarían a los municipios de menor producción.</w:t>
      </w:r>
    </w:p>
    <w:p>
      <w:pPr>
        <w:pStyle w:val="BlockText"/>
      </w:pPr>
      <w:r>
        <w:rPr>
          <w:b/>
          <w:bCs/>
        </w:rPr>
        <w:t xml:space="preserve">Verificar con el equipo</w:t>
      </w:r>
      <w:r>
        <w:t xml:space="preserve"> </w:t>
      </w:r>
      <w:r>
        <w:t xml:space="preserve">— el régimen de tenencia de la tierra, el acceso a asistencia técnica y los canales de comercialización de los principales productos. El inventario dice qué se produce y cuánto; no dice quién lo produce ni en qué condiciones lo vende.</w:t>
      </w:r>
    </w:p>
    <w:p>
      <w:pPr>
        <w:pStyle w:val="CaptionedFigure"/>
      </w:pPr>
      <w:r>
        <w:drawing>
          <wp:inline>
            <wp:extent cx="5600700" cy="3901811"/>
            <wp:effectExtent b="0" l="0" r="0" t="0"/>
            <wp:docPr descr="48. Participación pecuaria" title="" id="167" name="Picture"/>
            <a:graphic>
              <a:graphicData uri="http://schemas.openxmlformats.org/drawingml/2006/picture">
                <pic:pic>
                  <pic:nvPicPr>
                    <pic:cNvPr descr="03_Outputs/Bioenergetica_Norte/06_Desarrollo_Rural/figuras/fig_01_participacion_pecuaria.png" id="168" name="Picture"/>
                    <pic:cNvPicPr>
                      <a:picLocks noChangeArrowheads="1" noChangeAspect="1"/>
                    </pic:cNvPicPr>
                  </pic:nvPicPr>
                  <pic:blipFill>
                    <a:blip r:embed="rId166"/>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48. Participación pecuaria</w:t>
      </w:r>
    </w:p>
    <w:p>
      <w:pPr>
        <w:pStyle w:val="CaptionedFigure"/>
      </w:pPr>
      <w:r>
        <w:drawing>
          <wp:inline>
            <wp:extent cx="5600700" cy="4094529"/>
            <wp:effectExtent b="0" l="0" r="0" t="0"/>
            <wp:docPr descr="49. Composicion especies" title="" id="170" name="Picture"/>
            <a:graphic>
              <a:graphicData uri="http://schemas.openxmlformats.org/drawingml/2006/picture">
                <pic:pic>
                  <pic:nvPicPr>
                    <pic:cNvPr descr="03_Outputs/Bioenergetica_Norte/06_Desarrollo_Rural/figuras/fig_02_composicion_especies.png" id="171" name="Picture"/>
                    <pic:cNvPicPr>
                      <a:picLocks noChangeArrowheads="1" noChangeAspect="1"/>
                    </pic:cNvPicPr>
                  </pic:nvPicPr>
                  <pic:blipFill>
                    <a:blip r:embed="rId169"/>
                    <a:stretch>
                      <a:fillRect/>
                    </a:stretch>
                  </pic:blipFill>
                  <pic:spPr bwMode="auto">
                    <a:xfrm>
                      <a:off x="0" y="0"/>
                      <a:ext cx="5600700" cy="4094529"/>
                    </a:xfrm>
                    <a:prstGeom prst="rect">
                      <a:avLst/>
                    </a:prstGeom>
                    <a:noFill/>
                    <a:ln w="9525">
                      <a:noFill/>
                      <a:headEnd/>
                      <a:tailEnd/>
                    </a:ln>
                  </pic:spPr>
                </pic:pic>
              </a:graphicData>
            </a:graphic>
          </wp:inline>
        </w:drawing>
      </w:r>
    </w:p>
    <w:p>
      <w:pPr>
        <w:pStyle w:val="ImageCaption"/>
      </w:pPr>
      <w:r>
        <w:t xml:space="preserve">49. Composicion especies</w:t>
      </w:r>
    </w:p>
    <w:p>
      <w:pPr>
        <w:pStyle w:val="CaptionedFigure"/>
      </w:pPr>
      <w:r>
        <w:drawing>
          <wp:inline>
            <wp:extent cx="5600700" cy="4094529"/>
            <wp:effectExtent b="0" l="0" r="0" t="0"/>
            <wp:docPr descr="50. Composicion agrícola" title="" id="173" name="Picture"/>
            <a:graphic>
              <a:graphicData uri="http://schemas.openxmlformats.org/drawingml/2006/picture">
                <pic:pic>
                  <pic:nvPicPr>
                    <pic:cNvPr descr="03_Outputs/Bioenergetica_Norte/06_Desarrollo_Rural/figuras/fig_03_composicion_agricola.png" id="174" name="Picture"/>
                    <pic:cNvPicPr>
                      <a:picLocks noChangeArrowheads="1" noChangeAspect="1"/>
                    </pic:cNvPicPr>
                  </pic:nvPicPr>
                  <pic:blipFill>
                    <a:blip r:embed="rId172"/>
                    <a:stretch>
                      <a:fillRect/>
                    </a:stretch>
                  </pic:blipFill>
                  <pic:spPr bwMode="auto">
                    <a:xfrm>
                      <a:off x="0" y="0"/>
                      <a:ext cx="5600700" cy="4094529"/>
                    </a:xfrm>
                    <a:prstGeom prst="rect">
                      <a:avLst/>
                    </a:prstGeom>
                    <a:noFill/>
                    <a:ln w="9525">
                      <a:noFill/>
                      <a:headEnd/>
                      <a:tailEnd/>
                    </a:ln>
                  </pic:spPr>
                </pic:pic>
              </a:graphicData>
            </a:graphic>
          </wp:inline>
        </w:drawing>
      </w:r>
    </w:p>
    <w:p>
      <w:pPr>
        <w:pStyle w:val="ImageCaption"/>
      </w:pPr>
      <w:r>
        <w:t xml:space="preserve">50. Composicion agrícola</w:t>
      </w:r>
    </w:p>
    <w:p>
      <w:pPr>
        <w:pStyle w:val="CaptionedFigure"/>
      </w:pPr>
      <w:r>
        <w:drawing>
          <wp:inline>
            <wp:extent cx="5600700" cy="3901811"/>
            <wp:effectExtent b="0" l="0" r="0" t="0"/>
            <wp:docPr descr="51. Participación producción" title="" id="176" name="Picture"/>
            <a:graphic>
              <a:graphicData uri="http://schemas.openxmlformats.org/drawingml/2006/picture">
                <pic:pic>
                  <pic:nvPicPr>
                    <pic:cNvPr descr="03_Outputs/Bioenergetica_Norte/06_Desarrollo_Rural/figuras/fig_04_participacion_produccion.png" id="177" name="Picture"/>
                    <pic:cNvPicPr>
                      <a:picLocks noChangeArrowheads="1" noChangeAspect="1"/>
                    </pic:cNvPicPr>
                  </pic:nvPicPr>
                  <pic:blipFill>
                    <a:blip r:embed="rId175"/>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51. Participación producción</w:t>
      </w:r>
    </w:p>
    <w:p>
      <w:pPr>
        <w:pStyle w:val="CaptionedFigure"/>
      </w:pPr>
      <w:r>
        <w:drawing>
          <wp:inline>
            <wp:extent cx="5600700" cy="3901811"/>
            <wp:effectExtent b="0" l="0" r="0" t="0"/>
            <wp:docPr descr="52. Rendimiento agrícola" title="" id="179" name="Picture"/>
            <a:graphic>
              <a:graphicData uri="http://schemas.openxmlformats.org/drawingml/2006/picture">
                <pic:pic>
                  <pic:nvPicPr>
                    <pic:cNvPr descr="03_Outputs/Bioenergetica_Norte/06_Desarrollo_Rural/figuras/fig_05_rendimiento_agricola.png" id="180" name="Picture"/>
                    <pic:cNvPicPr>
                      <a:picLocks noChangeArrowheads="1" noChangeAspect="1"/>
                    </pic:cNvPicPr>
                  </pic:nvPicPr>
                  <pic:blipFill>
                    <a:blip r:embed="rId178"/>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52. Rendimiento agrícola</w:t>
      </w:r>
    </w:p>
    <w:bookmarkEnd w:id="181"/>
    <w:bookmarkStart w:id="208" w:name="ambiental"/>
    <w:p>
      <w:pPr>
        <w:pStyle w:val="Heading3"/>
      </w:pPr>
      <w:r>
        <w:t xml:space="preserve">Ambiental</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Ambiental</w:t>
            </w:r>
          </w:p>
        </w:tc>
      </w:tr>
      <w:tr>
        <w:tc>
          <w:tcPr/>
          <w:p>
            <w:pPr>
              <w:pStyle w:val="Compact"/>
              <w:jc w:val="left"/>
            </w:pPr>
            <w:r>
              <w:t xml:space="preserve">Peor calidad de agua (IRCA más alto): Angostura (6,30)</w:t>
            </w:r>
          </w:p>
        </w:tc>
      </w:tr>
      <w:tr>
        <w:tc>
          <w:tcPr/>
          <w:p>
            <w:pPr>
              <w:pStyle w:val="Compact"/>
              <w:jc w:val="left"/>
            </w:pPr>
            <w:r>
              <w:t xml:space="preserve">Mayor riesgo por exceso de lluvias: Valdivia (68,30)</w:t>
            </w:r>
          </w:p>
        </w:tc>
      </w:tr>
    </w:tbl>
    <w:p>
      <w:pPr>
        <w:pStyle w:val="BodyText"/>
      </w:pPr>
      <w:r>
        <w:t xml:space="preserve">La dimensión ambiental de la Provincia Bioenergética del Norte de Antioquia se lee en dos registros: los activos naturales que conserva —áreas protegidas, cobertura arbórea, agua— y las presiones que los amenazan, desde la deforestación hasta el riesgo de desastres. Ambos son, además, condicionantes del ordenamiento y de la actividad productiva descrita en las secciones anteriores.</w:t>
      </w:r>
    </w:p>
    <w:bookmarkStart w:id="182" w:name="recursos-naturales"/>
    <w:p>
      <w:pPr>
        <w:pStyle w:val="Heading4"/>
      </w:pPr>
      <w:r>
        <w:t xml:space="preserve">Recursos naturales</w:t>
      </w:r>
    </w:p>
    <w:p>
      <w:pPr>
        <w:pStyle w:val="FirstParagraph"/>
      </w:pPr>
      <w:r>
        <w:t xml:space="preserve">Las áreas protegidas cubren 1.557 km² del territorio de la Provincia, el 20,6 % de su superficie, repartidas en 7 registros. La mayor extensión protegida corresponde a Ituango (1.206 km²). La figura de protección más frecuente es «Distritos Regionales de Manejo Integrado».</w:t>
      </w:r>
    </w:p>
    <w:p>
      <w:pPr>
        <w:pStyle w:val="BodyText"/>
      </w:pPr>
      <w:r>
        <w:t xml:space="preserve">En calidad del agua para consumo humano, el IRCA de 2024 registra los niveles de riesgo más altos en Angostura (6,30) y Gómez Plata (4,60) y los más bajos en Ituango (0,00) y Guadalupe (0,90); en este índice un valor mayor significa peor calidad. El promedio provincial es de 2,18. El agua potable es el eslabón donde convergen la dispersión rural, la capacidad institucional del municipio y el déficit cualitativo de vivienda: los tres se manifiestan en el mismo indicador.</w:t>
      </w:r>
    </w:p>
    <w:p>
      <w:pPr>
        <w:pStyle w:val="BlockText"/>
      </w:pPr>
      <w:r>
        <w:rPr>
          <w:b/>
          <w:bCs/>
        </w:rPr>
        <w:t xml:space="preserve">Verificar con el equipo</w:t>
      </w:r>
      <w:r>
        <w:t xml:space="preserve"> </w:t>
      </w:r>
      <w:r>
        <w:t xml:space="preserve">— qué autoridad ambiental tiene jurisdicción sobre cada municipio y qué instrumentos de manejo —POMCA, planes de manejo de áreas protegidas— están vigentes, para saber sobre qué marco puede apoyarse el Plan.</w:t>
      </w:r>
    </w:p>
    <w:bookmarkEnd w:id="182"/>
    <w:bookmarkStart w:id="207" w:name="Xeddf2fa5e3d175d8bc8793940f0b8d29eb2e692"/>
    <w:p>
      <w:pPr>
        <w:pStyle w:val="Heading4"/>
      </w:pPr>
      <w:r>
        <w:t xml:space="preserve">Sostenibilidad ambiental y cambio climático</w:t>
      </w:r>
    </w:p>
    <w:p>
      <w:pPr>
        <w:pStyle w:val="FirstParagraph"/>
      </w:pPr>
      <w:r>
        <w:t xml:space="preserve">La pérdida de cobertura arbórea entre 2001 y 2023 se concentra en Angostura (22,0 %), Anorí (13,0 %) y Valdivia (11,0 %). El promedio provincial es del 7,8 %, por debajo del departamento (9,3 %), con una diferencia de 1,5 puntos porcentuales. En el mapa, los 3 municipios con los valores más altos forman un patrón parcialmente contiguo.</w:t>
      </w:r>
    </w:p>
    <w:p>
      <w:pPr>
        <w:pStyle w:val="BodyText"/>
      </w:pPr>
      <w:r>
        <w:t xml:space="preserve">El Índice Municipal de Riesgo ajustado por capacidades distingue dos amenazas climáticas opuestas. Por exceso de lluvias, los municipios más expuestos son Valdivia (68,30) e Ituango (65,68); por déficit, Valdivia (31,64) y Briceño (30,61). Que un mismo territorio aparezca en ambos extremos no es contradictorio: la variabilidad climática se manifiesta en las dos direcciones y exige medidas de adaptación distintas.</w:t>
      </w:r>
    </w:p>
    <w:p>
      <w:pPr>
        <w:pStyle w:val="BodyText"/>
      </w:pPr>
      <w:r>
        <w:t xml:space="preserve">En materia de desastres, la emergencia más prevalente es movimiento en masa en 9 de los 13 municipios de la Provincia. Conocer cuál predomina importa porque orienta la inversión en gestión del riesgo hacia un tipo de obra y de sistema de alerta y no hacia otro.</w:t>
      </w:r>
    </w:p>
    <w:p>
      <w:pPr>
        <w:pStyle w:val="BodyText"/>
      </w:pPr>
      <w:r>
        <w:t xml:space="preserve">El registro de emergencias muestra la exposición efectiva, no solo la potencial. Entre 2019 y 2024 la Provincia acumuló 280 eventos, con el máximo en 2022 (102 eventos) y el mínimo en 2019 (11). La serie es corta y depende de la capacidad de reporte de cada municipio, de modo que un año con pocos registros no significa necesariamente un año tranquilo.</w:t>
      </w:r>
    </w:p>
    <w:p>
      <w:pPr>
        <w:pStyle w:val="BlockText"/>
      </w:pPr>
      <w:r>
        <w:rPr>
          <w:b/>
          <w:bCs/>
        </w:rPr>
        <w:t xml:space="preserve">Verificar con el equipo</w:t>
      </w:r>
      <w:r>
        <w:t xml:space="preserve"> </w:t>
      </w:r>
      <w:r>
        <w:t xml:space="preserve">— qué explica la pérdida de cobertura en los municipios donde se concentra —frontera agropecuaria, minería, cultivos de uso ilícito, infraestructura— y si existen procesos de restauración en curso.</w:t>
      </w:r>
    </w:p>
    <w:p>
      <w:pPr>
        <w:pStyle w:val="CaptionedFigure"/>
      </w:pPr>
      <w:r>
        <w:drawing>
          <wp:inline>
            <wp:extent cx="5600700" cy="3851407"/>
            <wp:effectExtent b="0" l="0" r="0" t="0"/>
            <wp:docPr descr="53. Pérdida cobertura" title="" id="184" name="Picture"/>
            <a:graphic>
              <a:graphicData uri="http://schemas.openxmlformats.org/drawingml/2006/picture">
                <pic:pic>
                  <pic:nvPicPr>
                    <pic:cNvPr descr="03_Outputs/Bioenergetica_Norte/07_Ambiental/figuras/mapa_07_perdida_cobertura.png" id="185" name="Picture"/>
                    <pic:cNvPicPr>
                      <a:picLocks noChangeArrowheads="1" noChangeAspect="1"/>
                    </pic:cNvPicPr>
                  </pic:nvPicPr>
                  <pic:blipFill>
                    <a:blip r:embed="rId183"/>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53. Pérdida cobertura</w:t>
      </w:r>
    </w:p>
    <w:p>
      <w:pPr>
        <w:pStyle w:val="CaptionedFigure"/>
      </w:pPr>
      <w:r>
        <w:drawing>
          <wp:inline>
            <wp:extent cx="5600700" cy="2748464"/>
            <wp:effectExtent b="0" l="0" r="0" t="0"/>
            <wp:docPr descr="54. Areas protegidas" title="" id="187" name="Picture"/>
            <a:graphic>
              <a:graphicData uri="http://schemas.openxmlformats.org/drawingml/2006/picture">
                <pic:pic>
                  <pic:nvPicPr>
                    <pic:cNvPr descr="03_Outputs/Bioenergetica_Norte/07_Ambiental/figuras/fig_01_areas_protegidas.png" id="188" name="Picture"/>
                    <pic:cNvPicPr>
                      <a:picLocks noChangeArrowheads="1" noChangeAspect="1"/>
                    </pic:cNvPicPr>
                  </pic:nvPicPr>
                  <pic:blipFill>
                    <a:blip r:embed="rId186"/>
                    <a:stretch>
                      <a:fillRect/>
                    </a:stretch>
                  </pic:blipFill>
                  <pic:spPr bwMode="auto">
                    <a:xfrm>
                      <a:off x="0" y="0"/>
                      <a:ext cx="5600700" cy="2748464"/>
                    </a:xfrm>
                    <a:prstGeom prst="rect">
                      <a:avLst/>
                    </a:prstGeom>
                    <a:noFill/>
                    <a:ln w="9525">
                      <a:noFill/>
                      <a:headEnd/>
                      <a:tailEnd/>
                    </a:ln>
                  </pic:spPr>
                </pic:pic>
              </a:graphicData>
            </a:graphic>
          </wp:inline>
        </w:drawing>
      </w:r>
    </w:p>
    <w:p>
      <w:pPr>
        <w:pStyle w:val="ImageCaption"/>
      </w:pPr>
      <w:r>
        <w:t xml:space="preserve">54. Areas protegidas</w:t>
      </w:r>
    </w:p>
    <w:p>
      <w:pPr>
        <w:pStyle w:val="CaptionedFigure"/>
      </w:pPr>
      <w:r>
        <w:drawing>
          <wp:inline>
            <wp:extent cx="5600700" cy="3901811"/>
            <wp:effectExtent b="0" l="0" r="0" t="0"/>
            <wp:docPr descr="55. IRCA" title="" id="190" name="Picture"/>
            <a:graphic>
              <a:graphicData uri="http://schemas.openxmlformats.org/drawingml/2006/picture">
                <pic:pic>
                  <pic:nvPicPr>
                    <pic:cNvPr descr="03_Outputs/Bioenergetica_Norte/07_Ambiental/figuras/fig_02_irca.png" id="191" name="Picture"/>
                    <pic:cNvPicPr>
                      <a:picLocks noChangeArrowheads="1" noChangeAspect="1"/>
                    </pic:cNvPicPr>
                  </pic:nvPicPr>
                  <pic:blipFill>
                    <a:blip r:embed="rId189"/>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55. IRCA</w:t>
      </w:r>
    </w:p>
    <w:p>
      <w:pPr>
        <w:pStyle w:val="CaptionedFigure"/>
      </w:pPr>
      <w:r>
        <w:drawing>
          <wp:inline>
            <wp:extent cx="5600700" cy="2798867"/>
            <wp:effectExtent b="0" l="0" r="0" t="0"/>
            <wp:docPr descr="56. IRCA evolucion" title="" id="193" name="Picture"/>
            <a:graphic>
              <a:graphicData uri="http://schemas.openxmlformats.org/drawingml/2006/picture">
                <pic:pic>
                  <pic:nvPicPr>
                    <pic:cNvPr descr="03_Outputs/Bioenergetica_Norte/07_Ambiental/figuras/fig_03_irca_evolucion.png" id="194" name="Picture"/>
                    <pic:cNvPicPr>
                      <a:picLocks noChangeArrowheads="1" noChangeAspect="1"/>
                    </pic:cNvPicPr>
                  </pic:nvPicPr>
                  <pic:blipFill>
                    <a:blip r:embed="rId192"/>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56. IRCA evolucion</w:t>
      </w:r>
    </w:p>
    <w:p>
      <w:pPr>
        <w:pStyle w:val="CaptionedFigure"/>
      </w:pPr>
      <w:r>
        <w:drawing>
          <wp:inline>
            <wp:extent cx="5600700" cy="3901811"/>
            <wp:effectExtent b="0" l="0" r="0" t="0"/>
            <wp:docPr descr="57. Pérdida cobertura" title="" id="196" name="Picture"/>
            <a:graphic>
              <a:graphicData uri="http://schemas.openxmlformats.org/drawingml/2006/picture">
                <pic:pic>
                  <pic:nvPicPr>
                    <pic:cNvPr descr="03_Outputs/Bioenergetica_Norte/07_Ambiental/figuras/fig_04_perdida_cobertura.png" id="197" name="Picture"/>
                    <pic:cNvPicPr>
                      <a:picLocks noChangeArrowheads="1" noChangeAspect="1"/>
                    </pic:cNvPicPr>
                  </pic:nvPicPr>
                  <pic:blipFill>
                    <a:blip r:embed="rId195"/>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57. Pérdida cobertura</w:t>
      </w:r>
    </w:p>
    <w:p>
      <w:pPr>
        <w:pStyle w:val="CaptionedFigure"/>
      </w:pPr>
      <w:r>
        <w:drawing>
          <wp:inline>
            <wp:extent cx="5600700" cy="3709092"/>
            <wp:effectExtent b="0" l="0" r="0" t="0"/>
            <wp:docPr descr="58. Desastres tipo" title="" id="199" name="Picture"/>
            <a:graphic>
              <a:graphicData uri="http://schemas.openxmlformats.org/drawingml/2006/picture">
                <pic:pic>
                  <pic:nvPicPr>
                    <pic:cNvPr descr="03_Outputs/Bioenergetica_Norte/07_Ambiental/figuras/fig_05_desastres_tipo.png" id="200" name="Picture"/>
                    <pic:cNvPicPr>
                      <a:picLocks noChangeArrowheads="1" noChangeAspect="1"/>
                    </pic:cNvPicPr>
                  </pic:nvPicPr>
                  <pic:blipFill>
                    <a:blip r:embed="rId198"/>
                    <a:stretch>
                      <a:fillRect/>
                    </a:stretch>
                  </pic:blipFill>
                  <pic:spPr bwMode="auto">
                    <a:xfrm>
                      <a:off x="0" y="0"/>
                      <a:ext cx="5600700" cy="3709092"/>
                    </a:xfrm>
                    <a:prstGeom prst="rect">
                      <a:avLst/>
                    </a:prstGeom>
                    <a:noFill/>
                    <a:ln w="9525">
                      <a:noFill/>
                      <a:headEnd/>
                      <a:tailEnd/>
                    </a:ln>
                  </pic:spPr>
                </pic:pic>
              </a:graphicData>
            </a:graphic>
          </wp:inline>
        </w:drawing>
      </w:r>
    </w:p>
    <w:p>
      <w:pPr>
        <w:pStyle w:val="ImageCaption"/>
      </w:pPr>
      <w:r>
        <w:t xml:space="preserve">58. Desastres tipo</w:t>
      </w:r>
    </w:p>
    <w:p>
      <w:pPr>
        <w:pStyle w:val="CaptionedFigure"/>
      </w:pPr>
      <w:r>
        <w:drawing>
          <wp:inline>
            <wp:extent cx="5600700" cy="2798867"/>
            <wp:effectExtent b="0" l="0" r="0" t="0"/>
            <wp:docPr descr="59. Eventos anio" title="" id="202" name="Picture"/>
            <a:graphic>
              <a:graphicData uri="http://schemas.openxmlformats.org/drawingml/2006/picture">
                <pic:pic>
                  <pic:nvPicPr>
                    <pic:cNvPr descr="03_Outputs/Bioenergetica_Norte/07_Ambiental/figuras/fig_06_eventos_anio.png" id="203" name="Picture"/>
                    <pic:cNvPicPr>
                      <a:picLocks noChangeArrowheads="1" noChangeAspect="1"/>
                    </pic:cNvPicPr>
                  </pic:nvPicPr>
                  <pic:blipFill>
                    <a:blip r:embed="rId201"/>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59. Eventos anio</w:t>
      </w:r>
    </w:p>
    <w:p>
      <w:pPr>
        <w:pStyle w:val="CaptionedFigure"/>
      </w:pPr>
      <w:r>
        <w:drawing>
          <wp:inline>
            <wp:extent cx="5600700" cy="3901811"/>
            <wp:effectExtent b="0" l="0" r="0" t="0"/>
            <wp:docPr descr="60. IMRC" title="" id="205" name="Picture"/>
            <a:graphic>
              <a:graphicData uri="http://schemas.openxmlformats.org/drawingml/2006/picture">
                <pic:pic>
                  <pic:nvPicPr>
                    <pic:cNvPr descr="03_Outputs/Bioenergetica_Norte/07_Ambiental/figuras/fig_07_imrc.png" id="206" name="Picture"/>
                    <pic:cNvPicPr>
                      <a:picLocks noChangeArrowheads="1" noChangeAspect="1"/>
                    </pic:cNvPicPr>
                  </pic:nvPicPr>
                  <pic:blipFill>
                    <a:blip r:embed="rId204"/>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60. IMRC</w:t>
      </w:r>
    </w:p>
    <w:bookmarkEnd w:id="207"/>
    <w:bookmarkEnd w:id="208"/>
    <w:bookmarkStart w:id="221" w:name="educación"/>
    <w:p>
      <w:pPr>
        <w:pStyle w:val="Heading3"/>
      </w:pPr>
      <w:r>
        <w:t xml:space="preserve">Educación</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Educación</w:t>
            </w:r>
          </w:p>
        </w:tc>
      </w:tr>
      <w:tr>
        <w:tc>
          <w:tcPr/>
          <w:p>
            <w:pPr>
              <w:pStyle w:val="Compact"/>
              <w:jc w:val="left"/>
            </w:pPr>
            <w:r>
              <w:t xml:space="preserve">Mayor cobertura neta: Toledo (87,3 %)</w:t>
            </w:r>
          </w:p>
        </w:tc>
      </w:tr>
      <w:tr>
        <w:tc>
          <w:tcPr/>
          <w:p>
            <w:pPr>
              <w:pStyle w:val="Compact"/>
              <w:jc w:val="left"/>
            </w:pPr>
            <w:r>
              <w:t xml:space="preserve">Mayor tasa de deserción: Anorí (5,9 %)</w:t>
            </w:r>
          </w:p>
        </w:tc>
      </w:tr>
    </w:tbl>
    <w:p>
      <w:pPr>
        <w:pStyle w:val="BodyText"/>
      </w:pPr>
      <w:r>
        <w:t xml:space="preserve">La dimensión educativa permite comprender algunas de las condiciones más significativas de desarrollo humano, equidad territorial y competitividad de la Provincia Bioenergética del Norte de Antioquia. En un territorio con alta ruralidad y dispersión poblacional, el acceso, la permanencia y el tránsito efectivo entre niveles son determinantes de las oportunidades de su población, y cada uno se enfrenta a un obstáculo distinto: llegar a la escuela, quedarse en ella y continuar después.</w:t>
      </w:r>
    </w:p>
    <w:p>
      <w:pPr>
        <w:pStyle w:val="BodyText"/>
      </w:pPr>
      <w:r>
        <w:t xml:space="preserve">De acuerdo con la información del Ministerio de Educación Nacional para 2024, la Provincia presenta una cobertura neta del 70,1 %, por debajo del departamento (89,9 %), con una diferencia de 19,8 puntos porcentuales. A escala municipal las diferencias internas son significativas: Toledo (87,3 %) y Carolina del Príncipe (84,3 %) presentan las coberturas más altas, mientras que San José de la Montaña (57,2 %), Briceño (61,1 %) y Gómez Plata (63,2 %) registran los niveles más bajos.</w:t>
      </w:r>
    </w:p>
    <w:p>
      <w:pPr>
        <w:pStyle w:val="BodyText"/>
      </w:pPr>
      <w:r>
        <w:t xml:space="preserve">La permanencia cuenta una historia complementaria. La deserción escolar es mayor en Anorí (5,9 %) y Gómez Plata (5,0 %) y la repitencia en Carolina del Príncipe (12,8 %) y Valdivia (10,5 %), con una deserción provincial del 3,4 %. Cobertura y permanencia no se mueven necesariamente juntas: un municipio puede matricular bien y perder alumnos durante el año, y ese patrón exige una respuesta distinta —transporte, alimentación, acompañamiento— que la de ampliar cupos.</w:t>
      </w:r>
    </w:p>
    <w:p>
      <w:pPr>
        <w:pStyle w:val="BodyText"/>
      </w:pPr>
      <w:r>
        <w:t xml:space="preserve">En el mapa, los 3 municipios con los valores más bajos forman sin vecindad entre sí.</w:t>
      </w:r>
    </w:p>
    <w:p>
      <w:pPr>
        <w:pStyle w:val="BlockText"/>
      </w:pPr>
      <w:r>
        <w:rPr>
          <w:b/>
          <w:bCs/>
        </w:rPr>
        <w:t xml:space="preserve">Verificar con el equipo</w:t>
      </w:r>
      <w:r>
        <w:t xml:space="preserve"> </w:t>
      </w:r>
      <w:r>
        <w:t xml:space="preserve">— la distribución de sedes educativas rurales y la oferta de media técnica en la Provincia. La cobertura dice cuántos están matriculados; no dice a qué distancia queda la sede ni qué se enseña en ella.</w:t>
      </w:r>
    </w:p>
    <w:p>
      <w:pPr>
        <w:pStyle w:val="FirstParagraph"/>
      </w:pPr>
      <w:r>
        <w:rPr>
          <w:b/>
          <w:bCs/>
        </w:rPr>
        <w:t xml:space="preserve">Tabla 4.</w:t>
      </w:r>
      <w:r>
        <w:t xml:space="preserve"> </w:t>
      </w:r>
      <w:r>
        <w:t xml:space="preserve">Indicadores educativos de la Provincia Bioenergética del Norte de Antioquia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Municipio</w:t>
            </w:r>
          </w:p>
        </w:tc>
        <w:tc>
          <w:tcPr/>
          <w:p>
            <w:pPr>
              <w:pStyle w:val="Compact"/>
            </w:pPr>
            <w:r>
              <w:t xml:space="preserve">Cobertura neta</w:t>
            </w:r>
          </w:p>
        </w:tc>
        <w:tc>
          <w:tcPr/>
          <w:p>
            <w:pPr>
              <w:pStyle w:val="Compact"/>
            </w:pPr>
            <w:r>
              <w:t xml:space="preserve">Tasa de deserción</w:t>
            </w:r>
          </w:p>
        </w:tc>
        <w:tc>
          <w:tcPr/>
          <w:p>
            <w:pPr>
              <w:pStyle w:val="Compact"/>
            </w:pPr>
            <w:r>
              <w:t xml:space="preserve">Tasa de repitencia</w:t>
            </w:r>
          </w:p>
        </w:tc>
      </w:tr>
      <w:tr>
        <w:tc>
          <w:tcPr/>
          <w:p>
            <w:pPr>
              <w:pStyle w:val="Compact"/>
            </w:pPr>
            <w:r>
              <w:t xml:space="preserve">Angostura</w:t>
            </w:r>
          </w:p>
        </w:tc>
        <w:tc>
          <w:tcPr/>
          <w:p>
            <w:pPr>
              <w:pStyle w:val="Compact"/>
            </w:pPr>
            <w:r>
              <w:t xml:space="preserve">66,5 %</w:t>
            </w:r>
          </w:p>
        </w:tc>
        <w:tc>
          <w:tcPr/>
          <w:p>
            <w:pPr>
              <w:pStyle w:val="Compact"/>
            </w:pPr>
            <w:r>
              <w:t xml:space="preserve">3,0 %</w:t>
            </w:r>
          </w:p>
        </w:tc>
        <w:tc>
          <w:tcPr/>
          <w:p>
            <w:pPr>
              <w:pStyle w:val="Compact"/>
            </w:pPr>
            <w:r>
              <w:t xml:space="preserve">5,4 %</w:t>
            </w:r>
          </w:p>
        </w:tc>
      </w:tr>
      <w:tr>
        <w:tc>
          <w:tcPr/>
          <w:p>
            <w:pPr>
              <w:pStyle w:val="Compact"/>
            </w:pPr>
            <w:r>
              <w:t xml:space="preserve">Anorí</w:t>
            </w:r>
          </w:p>
        </w:tc>
        <w:tc>
          <w:tcPr/>
          <w:p>
            <w:pPr>
              <w:pStyle w:val="Compact"/>
            </w:pPr>
            <w:r>
              <w:t xml:space="preserve">69,6 %</w:t>
            </w:r>
          </w:p>
        </w:tc>
        <w:tc>
          <w:tcPr/>
          <w:p>
            <w:pPr>
              <w:pStyle w:val="Compact"/>
            </w:pPr>
            <w:r>
              <w:t xml:space="preserve">5,9 %</w:t>
            </w:r>
          </w:p>
        </w:tc>
        <w:tc>
          <w:tcPr/>
          <w:p>
            <w:pPr>
              <w:pStyle w:val="Compact"/>
            </w:pPr>
            <w:r>
              <w:t xml:space="preserve">6,4 %</w:t>
            </w:r>
          </w:p>
        </w:tc>
      </w:tr>
      <w:tr>
        <w:tc>
          <w:tcPr/>
          <w:p>
            <w:pPr>
              <w:pStyle w:val="Compact"/>
            </w:pPr>
            <w:r>
              <w:t xml:space="preserve">Briceño</w:t>
            </w:r>
          </w:p>
        </w:tc>
        <w:tc>
          <w:tcPr/>
          <w:p>
            <w:pPr>
              <w:pStyle w:val="Compact"/>
            </w:pPr>
            <w:r>
              <w:t xml:space="preserve">61,1 %</w:t>
            </w:r>
          </w:p>
        </w:tc>
        <w:tc>
          <w:tcPr/>
          <w:p>
            <w:pPr>
              <w:pStyle w:val="Compact"/>
            </w:pPr>
            <w:r>
              <w:t xml:space="preserve">2,8 %</w:t>
            </w:r>
          </w:p>
        </w:tc>
        <w:tc>
          <w:tcPr/>
          <w:p>
            <w:pPr>
              <w:pStyle w:val="Compact"/>
            </w:pPr>
            <w:r>
              <w:t xml:space="preserve">6,8 %</w:t>
            </w:r>
          </w:p>
        </w:tc>
      </w:tr>
      <w:tr>
        <w:tc>
          <w:tcPr/>
          <w:p>
            <w:pPr>
              <w:pStyle w:val="Compact"/>
            </w:pPr>
            <w:r>
              <w:t xml:space="preserve">Campamento</w:t>
            </w:r>
          </w:p>
        </w:tc>
        <w:tc>
          <w:tcPr/>
          <w:p>
            <w:pPr>
              <w:pStyle w:val="Compact"/>
            </w:pPr>
            <w:r>
              <w:t xml:space="preserve">63,7 %</w:t>
            </w:r>
          </w:p>
        </w:tc>
        <w:tc>
          <w:tcPr/>
          <w:p>
            <w:pPr>
              <w:pStyle w:val="Compact"/>
            </w:pPr>
            <w:r>
              <w:t xml:space="preserve">3,7 %</w:t>
            </w:r>
          </w:p>
        </w:tc>
        <w:tc>
          <w:tcPr/>
          <w:p>
            <w:pPr>
              <w:pStyle w:val="Compact"/>
            </w:pPr>
            <w:r>
              <w:t xml:space="preserve">6,9 %</w:t>
            </w:r>
          </w:p>
        </w:tc>
      </w:tr>
      <w:tr>
        <w:tc>
          <w:tcPr/>
          <w:p>
            <w:pPr>
              <w:pStyle w:val="Compact"/>
            </w:pPr>
            <w:r>
              <w:t xml:space="preserve">Carolina del Príncipe</w:t>
            </w:r>
          </w:p>
        </w:tc>
        <w:tc>
          <w:tcPr/>
          <w:p>
            <w:pPr>
              <w:pStyle w:val="Compact"/>
            </w:pPr>
            <w:r>
              <w:t xml:space="preserve">84,3 %</w:t>
            </w:r>
          </w:p>
        </w:tc>
        <w:tc>
          <w:tcPr/>
          <w:p>
            <w:pPr>
              <w:pStyle w:val="Compact"/>
            </w:pPr>
            <w:r>
              <w:t xml:space="preserve">2,4 %</w:t>
            </w:r>
          </w:p>
        </w:tc>
        <w:tc>
          <w:tcPr/>
          <w:p>
            <w:pPr>
              <w:pStyle w:val="Compact"/>
            </w:pPr>
            <w:r>
              <w:t xml:space="preserve">12,8 %</w:t>
            </w:r>
          </w:p>
        </w:tc>
      </w:tr>
      <w:tr>
        <w:tc>
          <w:tcPr/>
          <w:p>
            <w:pPr>
              <w:pStyle w:val="Compact"/>
            </w:pPr>
            <w:r>
              <w:t xml:space="preserve">Guadalupe</w:t>
            </w:r>
          </w:p>
        </w:tc>
        <w:tc>
          <w:tcPr/>
          <w:p>
            <w:pPr>
              <w:pStyle w:val="Compact"/>
            </w:pPr>
            <w:r>
              <w:t xml:space="preserve">69,6 %</w:t>
            </w:r>
          </w:p>
        </w:tc>
        <w:tc>
          <w:tcPr/>
          <w:p>
            <w:pPr>
              <w:pStyle w:val="Compact"/>
            </w:pPr>
            <w:r>
              <w:t xml:space="preserve">2,0 %</w:t>
            </w:r>
          </w:p>
        </w:tc>
        <w:tc>
          <w:tcPr/>
          <w:p>
            <w:pPr>
              <w:pStyle w:val="Compact"/>
            </w:pPr>
            <w:r>
              <w:t xml:space="preserve">6,9 %</w:t>
            </w:r>
          </w:p>
        </w:tc>
      </w:tr>
      <w:tr>
        <w:tc>
          <w:tcPr/>
          <w:p>
            <w:pPr>
              <w:pStyle w:val="Compact"/>
            </w:pPr>
            <w:r>
              <w:t xml:space="preserve">Gómez Plata</w:t>
            </w:r>
          </w:p>
        </w:tc>
        <w:tc>
          <w:tcPr/>
          <w:p>
            <w:pPr>
              <w:pStyle w:val="Compact"/>
            </w:pPr>
            <w:r>
              <w:t xml:space="preserve">63,2 %</w:t>
            </w:r>
          </w:p>
        </w:tc>
        <w:tc>
          <w:tcPr/>
          <w:p>
            <w:pPr>
              <w:pStyle w:val="Compact"/>
            </w:pPr>
            <w:r>
              <w:t xml:space="preserve">5,0 %</w:t>
            </w:r>
          </w:p>
        </w:tc>
        <w:tc>
          <w:tcPr/>
          <w:p>
            <w:pPr>
              <w:pStyle w:val="Compact"/>
            </w:pPr>
            <w:r>
              <w:t xml:space="preserve">9,6 %</w:t>
            </w:r>
          </w:p>
        </w:tc>
      </w:tr>
      <w:tr>
        <w:tc>
          <w:tcPr/>
          <w:p>
            <w:pPr>
              <w:pStyle w:val="Compact"/>
            </w:pPr>
            <w:r>
              <w:t xml:space="preserve">Ituango</w:t>
            </w:r>
          </w:p>
        </w:tc>
        <w:tc>
          <w:tcPr/>
          <w:p>
            <w:pPr>
              <w:pStyle w:val="Compact"/>
            </w:pPr>
            <w:r>
              <w:t xml:space="preserve">64,2 %</w:t>
            </w:r>
          </w:p>
        </w:tc>
        <w:tc>
          <w:tcPr/>
          <w:p>
            <w:pPr>
              <w:pStyle w:val="Compact"/>
            </w:pPr>
            <w:r>
              <w:t xml:space="preserve">3,8 %</w:t>
            </w:r>
          </w:p>
        </w:tc>
        <w:tc>
          <w:tcPr/>
          <w:p>
            <w:pPr>
              <w:pStyle w:val="Compact"/>
            </w:pPr>
            <w:r>
              <w:t xml:space="preserve">5,9 %</w:t>
            </w:r>
          </w:p>
        </w:tc>
      </w:tr>
      <w:tr>
        <w:tc>
          <w:tcPr/>
          <w:p>
            <w:pPr>
              <w:pStyle w:val="Compact"/>
            </w:pPr>
            <w:r>
              <w:t xml:space="preserve">San Andrés de Cuerquía</w:t>
            </w:r>
          </w:p>
        </w:tc>
        <w:tc>
          <w:tcPr/>
          <w:p>
            <w:pPr>
              <w:pStyle w:val="Compact"/>
            </w:pPr>
            <w:r>
              <w:t xml:space="preserve">70,1 %</w:t>
            </w:r>
          </w:p>
        </w:tc>
        <w:tc>
          <w:tcPr/>
          <w:p>
            <w:pPr>
              <w:pStyle w:val="Compact"/>
            </w:pPr>
            <w:r>
              <w:t xml:space="preserve">3,9 %</w:t>
            </w:r>
          </w:p>
        </w:tc>
        <w:tc>
          <w:tcPr/>
          <w:p>
            <w:pPr>
              <w:pStyle w:val="Compact"/>
            </w:pPr>
            <w:r>
              <w:t xml:space="preserve">8,9 %</w:t>
            </w:r>
          </w:p>
        </w:tc>
      </w:tr>
      <w:tr>
        <w:tc>
          <w:tcPr/>
          <w:p>
            <w:pPr>
              <w:pStyle w:val="Compact"/>
            </w:pPr>
            <w:r>
              <w:t xml:space="preserve">San José de la Montaña</w:t>
            </w:r>
          </w:p>
        </w:tc>
        <w:tc>
          <w:tcPr/>
          <w:p>
            <w:pPr>
              <w:pStyle w:val="Compact"/>
            </w:pPr>
            <w:r>
              <w:t xml:space="preserve">57,2 %</w:t>
            </w:r>
          </w:p>
        </w:tc>
        <w:tc>
          <w:tcPr/>
          <w:p>
            <w:pPr>
              <w:pStyle w:val="Compact"/>
            </w:pPr>
            <w:r>
              <w:t xml:space="preserve">1,0 %</w:t>
            </w:r>
          </w:p>
        </w:tc>
        <w:tc>
          <w:tcPr/>
          <w:p>
            <w:pPr>
              <w:pStyle w:val="Compact"/>
            </w:pPr>
            <w:r>
              <w:t xml:space="preserve">4,4 %</w:t>
            </w:r>
          </w:p>
        </w:tc>
      </w:tr>
      <w:tr>
        <w:tc>
          <w:tcPr/>
          <w:p>
            <w:pPr>
              <w:pStyle w:val="Compact"/>
            </w:pPr>
            <w:r>
              <w:t xml:space="preserve">Toledo</w:t>
            </w:r>
          </w:p>
        </w:tc>
        <w:tc>
          <w:tcPr/>
          <w:p>
            <w:pPr>
              <w:pStyle w:val="Compact"/>
            </w:pPr>
            <w:r>
              <w:t xml:space="preserve">87,3 %</w:t>
            </w:r>
          </w:p>
        </w:tc>
        <w:tc>
          <w:tcPr/>
          <w:p>
            <w:pPr>
              <w:pStyle w:val="Compact"/>
            </w:pPr>
            <w:r>
              <w:t xml:space="preserve">3,2 %</w:t>
            </w:r>
          </w:p>
        </w:tc>
        <w:tc>
          <w:tcPr/>
          <w:p>
            <w:pPr>
              <w:pStyle w:val="Compact"/>
            </w:pPr>
            <w:r>
              <w:t xml:space="preserve">9,9 %</w:t>
            </w:r>
          </w:p>
        </w:tc>
      </w:tr>
      <w:tr>
        <w:tc>
          <w:tcPr/>
          <w:p>
            <w:pPr>
              <w:pStyle w:val="Compact"/>
            </w:pPr>
            <w:r>
              <w:t xml:space="preserve">Valdivia</w:t>
            </w:r>
          </w:p>
        </w:tc>
        <w:tc>
          <w:tcPr/>
          <w:p>
            <w:pPr>
              <w:pStyle w:val="Compact"/>
            </w:pPr>
            <w:r>
              <w:t xml:space="preserve">71,2 %</w:t>
            </w:r>
          </w:p>
        </w:tc>
        <w:tc>
          <w:tcPr/>
          <w:p>
            <w:pPr>
              <w:pStyle w:val="Compact"/>
            </w:pPr>
            <w:r>
              <w:t xml:space="preserve">3,6 %</w:t>
            </w:r>
          </w:p>
        </w:tc>
        <w:tc>
          <w:tcPr/>
          <w:p>
            <w:pPr>
              <w:pStyle w:val="Compact"/>
            </w:pPr>
            <w:r>
              <w:t xml:space="preserve">10,5 %</w:t>
            </w:r>
          </w:p>
        </w:tc>
      </w:tr>
      <w:tr>
        <w:tc>
          <w:tcPr/>
          <w:p>
            <w:pPr>
              <w:pStyle w:val="Compact"/>
            </w:pPr>
            <w:r>
              <w:t xml:space="preserve">Yarumal</w:t>
            </w:r>
          </w:p>
        </w:tc>
        <w:tc>
          <w:tcPr/>
          <w:p>
            <w:pPr>
              <w:pStyle w:val="Compact"/>
            </w:pPr>
            <w:r>
              <w:t xml:space="preserve">77,2 %</w:t>
            </w:r>
          </w:p>
        </w:tc>
        <w:tc>
          <w:tcPr/>
          <w:p>
            <w:pPr>
              <w:pStyle w:val="Compact"/>
            </w:pPr>
            <w:r>
              <w:t xml:space="preserve">2,3 %</w:t>
            </w:r>
          </w:p>
        </w:tc>
        <w:tc>
          <w:tcPr/>
          <w:p>
            <w:pPr>
              <w:pStyle w:val="Compact"/>
            </w:pPr>
            <w:r>
              <w:t xml:space="preserve">8,5 %</w:t>
            </w:r>
          </w:p>
        </w:tc>
      </w:tr>
      <w:tr>
        <w:tc>
          <w:tcPr/>
          <w:p>
            <w:pPr>
              <w:pStyle w:val="Compact"/>
            </w:pPr>
            <w:r>
              <w:t xml:space="preserve">PROMEDIO PONDERADO PROVINCIA BIOENERGÉTICA DEL NORTE DE ANTIOQUIA (por población escolar)</w:t>
            </w:r>
          </w:p>
        </w:tc>
        <w:tc>
          <w:tcPr/>
          <w:p>
            <w:pPr>
              <w:pStyle w:val="Compact"/>
            </w:pPr>
            <w:r>
              <w:t xml:space="preserve">70,1 %</w:t>
            </w:r>
          </w:p>
        </w:tc>
        <w:tc>
          <w:tcPr/>
          <w:p>
            <w:pPr>
              <w:pStyle w:val="Compact"/>
            </w:pPr>
            <w:r>
              <w:t xml:space="preserve">3,4 %</w:t>
            </w:r>
          </w:p>
        </w:tc>
        <w:tc>
          <w:tcPr/>
          <w:p>
            <w:pPr>
              <w:pStyle w:val="Compact"/>
            </w:pPr>
            <w:r>
              <w:t xml:space="preserve">7,7 %</w:t>
            </w:r>
          </w:p>
        </w:tc>
      </w:tr>
      <w:tr>
        <w:tc>
          <w:tcPr/>
          <w:p>
            <w:pPr>
              <w:pStyle w:val="Compact"/>
            </w:pPr>
            <w:r>
              <w:t xml:space="preserve">PROMEDIO PONDERADO SUBREGIÓN NORTE (por población escolar)</w:t>
            </w:r>
          </w:p>
        </w:tc>
        <w:tc>
          <w:tcPr/>
          <w:p>
            <w:pPr>
              <w:pStyle w:val="Compact"/>
            </w:pPr>
            <w:r>
              <w:t xml:space="preserve">79,0 %</w:t>
            </w:r>
          </w:p>
        </w:tc>
        <w:tc>
          <w:tcPr/>
          <w:p>
            <w:pPr>
              <w:pStyle w:val="Compact"/>
            </w:pPr>
            <w:r>
              <w:t xml:space="preserve">3,3 %</w:t>
            </w:r>
          </w:p>
        </w:tc>
        <w:tc>
          <w:tcPr/>
          <w:p>
            <w:pPr>
              <w:pStyle w:val="Compact"/>
            </w:pPr>
            <w:r>
              <w:t xml:space="preserve">8,0 %</w:t>
            </w:r>
          </w:p>
        </w:tc>
      </w:tr>
      <w:tr>
        <w:tc>
          <w:tcPr/>
          <w:p>
            <w:pPr>
              <w:pStyle w:val="Compact"/>
            </w:pPr>
            <w:r>
              <w:t xml:space="preserve">PROMEDIO PONDERADO DEPARTAMENTO (ANTIOQUIA) (por población escolar)</w:t>
            </w:r>
          </w:p>
        </w:tc>
        <w:tc>
          <w:tcPr/>
          <w:p>
            <w:pPr>
              <w:pStyle w:val="Compact"/>
            </w:pPr>
            <w:r>
              <w:t xml:space="preserve">89,9 %</w:t>
            </w:r>
          </w:p>
        </w:tc>
        <w:tc>
          <w:tcPr/>
          <w:p>
            <w:pPr>
              <w:pStyle w:val="Compact"/>
            </w:pPr>
            <w:r>
              <w:t xml:space="preserve">3,8 %</w:t>
            </w:r>
          </w:p>
        </w:tc>
        <w:tc>
          <w:tcPr/>
          <w:p>
            <w:pPr>
              <w:pStyle w:val="Compact"/>
            </w:pPr>
            <w:r>
              <w:t xml:space="preserve">9,3 %</w:t>
            </w:r>
          </w:p>
        </w:tc>
      </w:tr>
    </w:tbl>
    <w:p>
      <w:pPr>
        <w:pStyle w:val="BodyText"/>
      </w:pPr>
      <w:r>
        <w:rPr>
          <w:i/>
          <w:iCs/>
        </w:rPr>
        <w:t xml:space="preserve">Fuente: Ministerio de Educación Nacional. Cálculos propios.</w:t>
      </w:r>
    </w:p>
    <w:p>
      <w:pPr>
        <w:pStyle w:val="CaptionedFigure"/>
      </w:pPr>
      <w:r>
        <w:drawing>
          <wp:inline>
            <wp:extent cx="5600700" cy="3851407"/>
            <wp:effectExtent b="0" l="0" r="0" t="0"/>
            <wp:docPr descr="61. Cobertura neta" title="" id="210" name="Picture"/>
            <a:graphic>
              <a:graphicData uri="http://schemas.openxmlformats.org/drawingml/2006/picture">
                <pic:pic>
                  <pic:nvPicPr>
                    <pic:cNvPr descr="03_Outputs/Bioenergetica_Norte/08_Educacion/figuras/mapa_08_cobertura_neta.png" id="211" name="Picture"/>
                    <pic:cNvPicPr>
                      <a:picLocks noChangeArrowheads="1" noChangeAspect="1"/>
                    </pic:cNvPicPr>
                  </pic:nvPicPr>
                  <pic:blipFill>
                    <a:blip r:embed="rId20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61. Cobertura neta</w:t>
      </w:r>
    </w:p>
    <w:p>
      <w:pPr>
        <w:pStyle w:val="CaptionedFigure"/>
      </w:pPr>
      <w:r>
        <w:drawing>
          <wp:inline>
            <wp:extent cx="5600700" cy="3901811"/>
            <wp:effectExtent b="0" l="0" r="0" t="0"/>
            <wp:docPr descr="62. Cobertura neta" title="" id="213" name="Picture"/>
            <a:graphic>
              <a:graphicData uri="http://schemas.openxmlformats.org/drawingml/2006/picture">
                <pic:pic>
                  <pic:nvPicPr>
                    <pic:cNvPr descr="03_Outputs/Bioenergetica_Norte/08_Educacion/figuras/fig_01_cobertura_neta.png" id="214" name="Picture"/>
                    <pic:cNvPicPr>
                      <a:picLocks noChangeArrowheads="1" noChangeAspect="1"/>
                    </pic:cNvPicPr>
                  </pic:nvPicPr>
                  <pic:blipFill>
                    <a:blip r:embed="rId212"/>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62. Cobertura neta</w:t>
      </w:r>
    </w:p>
    <w:p>
      <w:pPr>
        <w:pStyle w:val="CaptionedFigure"/>
      </w:pPr>
      <w:r>
        <w:drawing>
          <wp:inline>
            <wp:extent cx="5600700" cy="3901811"/>
            <wp:effectExtent b="0" l="0" r="0" t="0"/>
            <wp:docPr descr="63. Deserción escolar" title="" id="216" name="Picture"/>
            <a:graphic>
              <a:graphicData uri="http://schemas.openxmlformats.org/drawingml/2006/picture">
                <pic:pic>
                  <pic:nvPicPr>
                    <pic:cNvPr descr="03_Outputs/Bioenergetica_Norte/08_Educacion/figuras/fig_02_desercion_escolar.png" id="217" name="Picture"/>
                    <pic:cNvPicPr>
                      <a:picLocks noChangeArrowheads="1" noChangeAspect="1"/>
                    </pic:cNvPicPr>
                  </pic:nvPicPr>
                  <pic:blipFill>
                    <a:blip r:embed="rId215"/>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63. Deserción escolar</w:t>
      </w:r>
    </w:p>
    <w:p>
      <w:pPr>
        <w:pStyle w:val="CaptionedFigure"/>
      </w:pPr>
      <w:r>
        <w:drawing>
          <wp:inline>
            <wp:extent cx="5600700" cy="3901811"/>
            <wp:effectExtent b="0" l="0" r="0" t="0"/>
            <wp:docPr descr="64. Repitencia escolar" title="" id="219" name="Picture"/>
            <a:graphic>
              <a:graphicData uri="http://schemas.openxmlformats.org/drawingml/2006/picture">
                <pic:pic>
                  <pic:nvPicPr>
                    <pic:cNvPr descr="03_Outputs/Bioenergetica_Norte/08_Educacion/figuras/fig_03_repitencia_escolar.png" id="220" name="Picture"/>
                    <pic:cNvPicPr>
                      <a:picLocks noChangeArrowheads="1" noChangeAspect="1"/>
                    </pic:cNvPicPr>
                  </pic:nvPicPr>
                  <pic:blipFill>
                    <a:blip r:embed="rId218"/>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64. Repitencia escolar</w:t>
      </w:r>
    </w:p>
    <w:bookmarkEnd w:id="221"/>
    <w:bookmarkStart w:id="246" w:name="salud"/>
    <w:p>
      <w:pPr>
        <w:pStyle w:val="Heading3"/>
      </w:pPr>
      <w:r>
        <w:t xml:space="preserve">Salud</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Salud</w:t>
            </w:r>
          </w:p>
        </w:tc>
      </w:tr>
      <w:tr>
        <w:tc>
          <w:tcPr/>
          <w:p>
            <w:pPr>
              <w:pStyle w:val="Compact"/>
              <w:jc w:val="left"/>
            </w:pPr>
            <w:r>
              <w:t xml:space="preserve">Mayor proporción de bajo peso al nacer: Angostura (19,4 %)</w:t>
            </w:r>
          </w:p>
        </w:tc>
      </w:tr>
      <w:tr>
        <w:tc>
          <w:tcPr/>
          <w:p>
            <w:pPr>
              <w:pStyle w:val="Compact"/>
              <w:jc w:val="left"/>
            </w:pPr>
            <w:r>
              <w:t xml:space="preserve">Afiliados al régimen subsidiado (provincial): 75,6 %</w:t>
            </w:r>
          </w:p>
        </w:tc>
      </w:tr>
    </w:tbl>
    <w:p>
      <w:pPr>
        <w:pStyle w:val="BodyText"/>
      </w:pPr>
      <w:r>
        <w:t xml:space="preserve">El aseguramiento en salud de la Provincia se apoya mayoritariamente en el régimen subsidiado, que concentra el 75,6 % de los afiliados frente al 21,3 % del contributivo. Esa composición no es un dato del sector salud sino un reflejo directo de la estructura del empleo descrita en la sección de economía: donde la informalidad es alta, el aseguramiento es subsidiado, y el sistema de salud local depende de transferencias antes que de cotizaciones. Corte: diciembre de 2025.</w:t>
      </w:r>
    </w:p>
    <w:p>
      <w:pPr>
        <w:pStyle w:val="BodyText"/>
      </w:pPr>
      <w:r>
        <w:t xml:space="preserve">En 2024, la mortalidad infantil registra sus valores más altos en San Andrés de Cuerquía (23,26) y Angostura (13,89), con una tasa provincial de 6,05 por cada mil nacidos vivos, por debajo del departamento (8,64), con una diferencia de 30 %. Conviene leer esta cifra con cuidado: en municipios con pocos nacimientos la tasa se mueve mucho con un solo caso, de modo que un valor alto en un año no constituye una tendencia.</w:t>
      </w:r>
    </w:p>
    <w:p>
      <w:pPr>
        <w:pStyle w:val="BodyText"/>
      </w:pPr>
      <w:r>
        <w:t xml:space="preserve">El bajo peso al nacer, que anticipa buena parte de la trayectoria de salud posterior, afecta al 13,9 % de los nacimientos de la Provincia y alcanza sus valores más altos en Angostura (19,4 %) y Toledo (17,0 %). Es un indicador de nutrición y de control prenatal, de modo que conecta la salud con las condiciones materiales descritas en la sección de economía.</w:t>
      </w:r>
    </w:p>
    <w:p>
      <w:pPr>
        <w:pStyle w:val="BodyText"/>
      </w:pPr>
      <w:r>
        <w:t xml:space="preserve">Entre las enfermedades transmitidas por vectores, el dengue registra una tasa provincial de 8,52 por cada cien mil habitantes, con sus valores más altos en Valdivia (39,12) y Anorí (25,70) y la malaria, de 122,23 sobre la misma base, encabezada por Anorí (826,95) y Valdivia (195,44). Son sensibles al clima y a las condiciones de la vivienda y el saneamiento, lo que las convierte en un indicador cruzado entre la sección ambiental y la de ordenamiento.</w:t>
      </w:r>
    </w:p>
    <w:p>
      <w:pPr>
        <w:pStyle w:val="BodyText"/>
      </w:pPr>
      <w:r>
        <w:t xml:space="preserve">La leishmaniasis se mide sobre población</w:t>
      </w:r>
      <w:r>
        <w:t xml:space="preserve"> </w:t>
      </w:r>
      <w:r>
        <w:rPr>
          <w:b/>
          <w:bCs/>
        </w:rPr>
        <w:t xml:space="preserve">rural</w:t>
      </w:r>
      <w:r>
        <w:t xml:space="preserve"> </w:t>
      </w:r>
      <w:r>
        <w:t xml:space="preserve">y no sobre la total, de modo que su tasa no es comparable con las dos anteriores. En la Provincia alcanza 307,70 por cada cien mil habitantes rurales, con los valores más altos en Valdivia (1.167,87) y Anorí (914,39).</w:t>
      </w:r>
    </w:p>
    <w:p>
      <w:pPr>
        <w:pStyle w:val="BodyText"/>
      </w:pPr>
      <w:r>
        <w:t xml:space="preserve">En salud mental, la tasa de intento de suicidio de la Provincia es de 76,74 por cada cien mil habitantes, con los valores más altos en Yarumal (132,71) y Valdivia (96,81). Es el indicador con mayor subregistro de esta sección y conviene presentarlo como una cota inferior.</w:t>
      </w:r>
    </w:p>
    <w:p>
      <w:pPr>
        <w:pStyle w:val="BlockText"/>
      </w:pPr>
      <w:r>
        <w:rPr>
          <w:b/>
          <w:bCs/>
        </w:rPr>
        <w:t xml:space="preserve">Verificar con el equipo</w:t>
      </w:r>
      <w:r>
        <w:t xml:space="preserve"> </w:t>
      </w:r>
      <w:r>
        <w:t xml:space="preserve">— la red de prestación de servicios disponible en la Provincia —nivel de complejidad de las IPS, tiempos de traslado al hospital de referencia— y el estado financiero de las ESE municipales. Los indicadores de resultado no dicen con qué capacidad instalada se obtuvieron.</w:t>
      </w:r>
    </w:p>
    <w:p>
      <w:pPr>
        <w:pStyle w:val="FirstParagraph"/>
      </w:pPr>
      <w:r>
        <w:rPr>
          <w:b/>
          <w:bCs/>
        </w:rPr>
        <w:t xml:space="preserve">Tabla 5.</w:t>
      </w:r>
      <w:r>
        <w:t xml:space="preserve"> </w:t>
      </w:r>
      <w:r>
        <w:t xml:space="preserve">Mortalidad infantil en la Provincia Bioenergética del Norte de Antioquia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Año</w:t>
            </w:r>
          </w:p>
        </w:tc>
        <w:tc>
          <w:tcPr/>
          <w:p>
            <w:pPr>
              <w:pStyle w:val="Compact"/>
            </w:pPr>
            <w:r>
              <w:t xml:space="preserve">Tasa de mortalidad infantil (x 1.000 nacidos vivos)</w:t>
            </w:r>
          </w:p>
        </w:tc>
      </w:tr>
      <w:tr>
        <w:tc>
          <w:tcPr/>
          <w:p>
            <w:pPr>
              <w:pStyle w:val="Compact"/>
            </w:pPr>
            <w:r>
              <w:t xml:space="preserve">Angostura</w:t>
            </w:r>
          </w:p>
        </w:tc>
        <w:tc>
          <w:tcPr/>
          <w:p>
            <w:pPr>
              <w:pStyle w:val="Compact"/>
            </w:pPr>
            <w:r>
              <w:t xml:space="preserve">2.024</w:t>
            </w:r>
          </w:p>
        </w:tc>
        <w:tc>
          <w:tcPr/>
          <w:p>
            <w:pPr>
              <w:pStyle w:val="Compact"/>
            </w:pPr>
            <w:r>
              <w:t xml:space="preserve">13,89</w:t>
            </w:r>
          </w:p>
        </w:tc>
      </w:tr>
      <w:tr>
        <w:tc>
          <w:tcPr/>
          <w:p>
            <w:pPr>
              <w:pStyle w:val="Compact"/>
            </w:pPr>
            <w:r>
              <w:t xml:space="preserve">Anorí</w:t>
            </w:r>
          </w:p>
        </w:tc>
        <w:tc>
          <w:tcPr/>
          <w:p>
            <w:pPr>
              <w:pStyle w:val="Compact"/>
            </w:pPr>
            <w:r>
              <w:t xml:space="preserve">2.024</w:t>
            </w:r>
          </w:p>
        </w:tc>
        <w:tc>
          <w:tcPr/>
          <w:p>
            <w:pPr>
              <w:pStyle w:val="Compact"/>
            </w:pPr>
            <w:r>
              <w:t xml:space="preserve">5,49</w:t>
            </w:r>
          </w:p>
        </w:tc>
      </w:tr>
      <w:tr>
        <w:tc>
          <w:tcPr/>
          <w:p>
            <w:pPr>
              <w:pStyle w:val="Compact"/>
            </w:pPr>
            <w:r>
              <w:t xml:space="preserve">Briceño</w:t>
            </w:r>
          </w:p>
        </w:tc>
        <w:tc>
          <w:tcPr/>
          <w:p>
            <w:pPr>
              <w:pStyle w:val="Compact"/>
            </w:pPr>
            <w:r>
              <w:t xml:space="preserve">2.024</w:t>
            </w:r>
          </w:p>
        </w:tc>
        <w:tc>
          <w:tcPr/>
          <w:p>
            <w:pPr>
              <w:pStyle w:val="Compact"/>
            </w:pPr>
            <w:r>
              <w:t xml:space="preserve">0,00</w:t>
            </w:r>
          </w:p>
        </w:tc>
      </w:tr>
      <w:tr>
        <w:tc>
          <w:tcPr/>
          <w:p>
            <w:pPr>
              <w:pStyle w:val="Compact"/>
            </w:pPr>
            <w:r>
              <w:t xml:space="preserve">Campamento</w:t>
            </w:r>
          </w:p>
        </w:tc>
        <w:tc>
          <w:tcPr/>
          <w:p>
            <w:pPr>
              <w:pStyle w:val="Compact"/>
            </w:pPr>
            <w:r>
              <w:t xml:space="preserve">2.024</w:t>
            </w:r>
          </w:p>
        </w:tc>
        <w:tc>
          <w:tcPr/>
          <w:p>
            <w:pPr>
              <w:pStyle w:val="Compact"/>
            </w:pPr>
            <w:r>
              <w:t xml:space="preserve">0,00</w:t>
            </w:r>
          </w:p>
        </w:tc>
      </w:tr>
      <w:tr>
        <w:tc>
          <w:tcPr/>
          <w:p>
            <w:pPr>
              <w:pStyle w:val="Compact"/>
            </w:pPr>
            <w:r>
              <w:t xml:space="preserve">Carolina del Príncipe</w:t>
            </w:r>
          </w:p>
        </w:tc>
        <w:tc>
          <w:tcPr/>
          <w:p>
            <w:pPr>
              <w:pStyle w:val="Compact"/>
            </w:pPr>
            <w:r>
              <w:t xml:space="preserve">2.024</w:t>
            </w:r>
          </w:p>
        </w:tc>
        <w:tc>
          <w:tcPr/>
          <w:p>
            <w:pPr>
              <w:pStyle w:val="Compact"/>
            </w:pPr>
            <w:r>
              <w:t xml:space="preserve">0,00</w:t>
            </w:r>
          </w:p>
        </w:tc>
      </w:tr>
      <w:tr>
        <w:tc>
          <w:tcPr/>
          <w:p>
            <w:pPr>
              <w:pStyle w:val="Compact"/>
            </w:pPr>
            <w:r>
              <w:t xml:space="preserve">Gómez Plata</w:t>
            </w:r>
          </w:p>
        </w:tc>
        <w:tc>
          <w:tcPr/>
          <w:p>
            <w:pPr>
              <w:pStyle w:val="Compact"/>
            </w:pPr>
            <w:r>
              <w:t xml:space="preserve">2.024</w:t>
            </w:r>
          </w:p>
        </w:tc>
        <w:tc>
          <w:tcPr/>
          <w:p>
            <w:pPr>
              <w:pStyle w:val="Compact"/>
            </w:pPr>
            <w:r>
              <w:t xml:space="preserve">0,00</w:t>
            </w:r>
          </w:p>
        </w:tc>
      </w:tr>
      <w:tr>
        <w:tc>
          <w:tcPr/>
          <w:p>
            <w:pPr>
              <w:pStyle w:val="Compact"/>
            </w:pPr>
            <w:r>
              <w:t xml:space="preserve">Guadalupe</w:t>
            </w:r>
          </w:p>
        </w:tc>
        <w:tc>
          <w:tcPr/>
          <w:p>
            <w:pPr>
              <w:pStyle w:val="Compact"/>
            </w:pPr>
            <w:r>
              <w:t xml:space="preserve">2.024</w:t>
            </w:r>
          </w:p>
        </w:tc>
        <w:tc>
          <w:tcPr/>
          <w:p>
            <w:pPr>
              <w:pStyle w:val="Compact"/>
            </w:pPr>
            <w:r>
              <w:t xml:space="preserve">0,00</w:t>
            </w:r>
          </w:p>
        </w:tc>
      </w:tr>
      <w:tr>
        <w:tc>
          <w:tcPr/>
          <w:p>
            <w:pPr>
              <w:pStyle w:val="Compact"/>
            </w:pPr>
            <w:r>
              <w:t xml:space="preserve">Ituango</w:t>
            </w:r>
          </w:p>
        </w:tc>
        <w:tc>
          <w:tcPr/>
          <w:p>
            <w:pPr>
              <w:pStyle w:val="Compact"/>
            </w:pPr>
            <w:r>
              <w:t xml:space="preserve">2.024</w:t>
            </w:r>
          </w:p>
        </w:tc>
        <w:tc>
          <w:tcPr/>
          <w:p>
            <w:pPr>
              <w:pStyle w:val="Compact"/>
            </w:pPr>
            <w:r>
              <w:t xml:space="preserve">6,29</w:t>
            </w:r>
          </w:p>
        </w:tc>
      </w:tr>
      <w:tr>
        <w:tc>
          <w:tcPr/>
          <w:p>
            <w:pPr>
              <w:pStyle w:val="Compact"/>
            </w:pPr>
            <w:r>
              <w:t xml:space="preserve">San Andrés de Cuerquía</w:t>
            </w:r>
          </w:p>
        </w:tc>
        <w:tc>
          <w:tcPr/>
          <w:p>
            <w:pPr>
              <w:pStyle w:val="Compact"/>
            </w:pPr>
            <w:r>
              <w:t xml:space="preserve">2.024</w:t>
            </w:r>
          </w:p>
        </w:tc>
        <w:tc>
          <w:tcPr/>
          <w:p>
            <w:pPr>
              <w:pStyle w:val="Compact"/>
            </w:pPr>
            <w:r>
              <w:t xml:space="preserve">23,26</w:t>
            </w:r>
          </w:p>
        </w:tc>
      </w:tr>
      <w:tr>
        <w:tc>
          <w:tcPr/>
          <w:p>
            <w:pPr>
              <w:pStyle w:val="Compact"/>
            </w:pPr>
            <w:r>
              <w:t xml:space="preserve">San José de la Montaña</w:t>
            </w:r>
          </w:p>
        </w:tc>
        <w:tc>
          <w:tcPr/>
          <w:p>
            <w:pPr>
              <w:pStyle w:val="Compact"/>
            </w:pPr>
            <w:r>
              <w:t xml:space="preserve">2.024</w:t>
            </w:r>
          </w:p>
        </w:tc>
        <w:tc>
          <w:tcPr/>
          <w:p>
            <w:pPr>
              <w:pStyle w:val="Compact"/>
            </w:pPr>
            <w:r>
              <w:t xml:space="preserve">0,00</w:t>
            </w:r>
          </w:p>
        </w:tc>
      </w:tr>
      <w:tr>
        <w:tc>
          <w:tcPr/>
          <w:p>
            <w:pPr>
              <w:pStyle w:val="Compact"/>
            </w:pPr>
            <w:r>
              <w:t xml:space="preserve">Toledo</w:t>
            </w:r>
          </w:p>
        </w:tc>
        <w:tc>
          <w:tcPr/>
          <w:p>
            <w:pPr>
              <w:pStyle w:val="Compact"/>
            </w:pPr>
            <w:r>
              <w:t xml:space="preserve">2.024</w:t>
            </w:r>
          </w:p>
        </w:tc>
        <w:tc>
          <w:tcPr/>
          <w:p>
            <w:pPr>
              <w:pStyle w:val="Compact"/>
            </w:pPr>
            <w:r>
              <w:t xml:space="preserve">0,00</w:t>
            </w:r>
          </w:p>
        </w:tc>
      </w:tr>
      <w:tr>
        <w:tc>
          <w:tcPr/>
          <w:p>
            <w:pPr>
              <w:pStyle w:val="Compact"/>
            </w:pPr>
            <w:r>
              <w:t xml:space="preserve">Valdivia</w:t>
            </w:r>
          </w:p>
        </w:tc>
        <w:tc>
          <w:tcPr/>
          <w:p>
            <w:pPr>
              <w:pStyle w:val="Compact"/>
            </w:pPr>
            <w:r>
              <w:t xml:space="preserve">2.024</w:t>
            </w:r>
          </w:p>
        </w:tc>
        <w:tc>
          <w:tcPr/>
          <w:p>
            <w:pPr>
              <w:pStyle w:val="Compact"/>
            </w:pPr>
            <w:r>
              <w:t xml:space="preserve">0,00</w:t>
            </w:r>
          </w:p>
        </w:tc>
      </w:tr>
      <w:tr>
        <w:tc>
          <w:tcPr/>
          <w:p>
            <w:pPr>
              <w:pStyle w:val="Compact"/>
            </w:pPr>
            <w:r>
              <w:t xml:space="preserve">Yarumal</w:t>
            </w:r>
          </w:p>
        </w:tc>
        <w:tc>
          <w:tcPr/>
          <w:p>
            <w:pPr>
              <w:pStyle w:val="Compact"/>
            </w:pPr>
            <w:r>
              <w:t xml:space="preserve">2.024</w:t>
            </w:r>
          </w:p>
        </w:tc>
        <w:tc>
          <w:tcPr/>
          <w:p>
            <w:pPr>
              <w:pStyle w:val="Compact"/>
            </w:pPr>
            <w:r>
              <w:t xml:space="preserve">9,17</w:t>
            </w:r>
          </w:p>
        </w:tc>
      </w:tr>
      <w:tr>
        <w:tc>
          <w:tcPr/>
          <w:p>
            <w:pPr>
              <w:pStyle w:val="Compact"/>
            </w:pPr>
            <w:r>
              <w:t xml:space="preserve">PROMEDIO PONDERADO PROVINCIA BIOENERGÉTICA DEL NORTE DE ANTIOQUIA (por nacidos vivos)</w:t>
            </w:r>
          </w:p>
        </w:tc>
        <w:tc>
          <w:tcPr/>
          <w:p>
            <w:pPr>
              <w:pStyle w:val="Compact"/>
            </w:pPr>
            <w:r>
              <w:t xml:space="preserve">2.024</w:t>
            </w:r>
          </w:p>
        </w:tc>
        <w:tc>
          <w:tcPr/>
          <w:p>
            <w:pPr>
              <w:pStyle w:val="Compact"/>
            </w:pPr>
            <w:r>
              <w:t xml:space="preserve">6,05</w:t>
            </w:r>
          </w:p>
        </w:tc>
      </w:tr>
      <w:tr>
        <w:tc>
          <w:tcPr/>
          <w:p>
            <w:pPr>
              <w:pStyle w:val="Compact"/>
            </w:pPr>
            <w:r>
              <w:t xml:space="preserve">PROMEDIO PONDERADO SUBREGIÓN NORTE (por nacidos vivos)</w:t>
            </w:r>
          </w:p>
        </w:tc>
        <w:tc>
          <w:tcPr/>
          <w:p>
            <w:pPr>
              <w:pStyle w:val="Compact"/>
            </w:pPr>
            <w:r>
              <w:t xml:space="preserve">2.024</w:t>
            </w:r>
          </w:p>
        </w:tc>
        <w:tc>
          <w:tcPr/>
          <w:p>
            <w:pPr>
              <w:pStyle w:val="Compact"/>
            </w:pPr>
            <w:r>
              <w:t xml:space="preserve">9,07</w:t>
            </w:r>
          </w:p>
        </w:tc>
      </w:tr>
      <w:tr>
        <w:tc>
          <w:tcPr/>
          <w:p>
            <w:pPr>
              <w:pStyle w:val="Compact"/>
            </w:pPr>
            <w:r>
              <w:t xml:space="preserve">PROMEDIO PONDERADO DEPARTAMENTO (ANTIOQUIA) (por nacidos vivos)</w:t>
            </w:r>
          </w:p>
        </w:tc>
        <w:tc>
          <w:tcPr/>
          <w:p>
            <w:pPr>
              <w:pStyle w:val="Compact"/>
            </w:pPr>
            <w:r>
              <w:t xml:space="preserve">2.024</w:t>
            </w:r>
          </w:p>
        </w:tc>
        <w:tc>
          <w:tcPr/>
          <w:p>
            <w:pPr>
              <w:pStyle w:val="Compact"/>
            </w:pPr>
            <w:r>
              <w:t xml:space="preserve">8,64</w:t>
            </w:r>
          </w:p>
        </w:tc>
      </w:tr>
    </w:tbl>
    <w:p>
      <w:pPr>
        <w:pStyle w:val="BodyText"/>
      </w:pPr>
      <w:r>
        <w:rPr>
          <w:i/>
          <w:iCs/>
        </w:rPr>
        <w:t xml:space="preserve">Fuente: Gobernación de Antioquia, estadísticas vitales. Cálculos propios.</w:t>
      </w:r>
    </w:p>
    <w:p>
      <w:pPr>
        <w:pStyle w:val="CaptionedFigure"/>
      </w:pPr>
      <w:r>
        <w:drawing>
          <wp:inline>
            <wp:extent cx="5600700" cy="3851407"/>
            <wp:effectExtent b="0" l="0" r="0" t="0"/>
            <wp:docPr descr="65. Mortalidad infantil" title="" id="223" name="Picture"/>
            <a:graphic>
              <a:graphicData uri="http://schemas.openxmlformats.org/drawingml/2006/picture">
                <pic:pic>
                  <pic:nvPicPr>
                    <pic:cNvPr descr="03_Outputs/Bioenergetica_Norte/09_Salud/figuras/mapa_09_mortalidad_infantil.png" id="224" name="Picture"/>
                    <pic:cNvPicPr>
                      <a:picLocks noChangeArrowheads="1" noChangeAspect="1"/>
                    </pic:cNvPicPr>
                  </pic:nvPicPr>
                  <pic:blipFill>
                    <a:blip r:embed="rId222"/>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65. Mortalidad infantil</w:t>
      </w:r>
    </w:p>
    <w:p>
      <w:pPr>
        <w:pStyle w:val="CaptionedFigure"/>
      </w:pPr>
      <w:r>
        <w:drawing>
          <wp:inline>
            <wp:extent cx="5600700" cy="3901811"/>
            <wp:effectExtent b="0" l="0" r="0" t="0"/>
            <wp:docPr descr="66. Aseguramiento SGSSS" title="" id="226" name="Picture"/>
            <a:graphic>
              <a:graphicData uri="http://schemas.openxmlformats.org/drawingml/2006/picture">
                <pic:pic>
                  <pic:nvPicPr>
                    <pic:cNvPr descr="03_Outputs/Bioenergetica_Norte/09_Salud/figuras/fig_01_aseguramiento_sgsss.png" id="227" name="Picture"/>
                    <pic:cNvPicPr>
                      <a:picLocks noChangeArrowheads="1" noChangeAspect="1"/>
                    </pic:cNvPicPr>
                  </pic:nvPicPr>
                  <pic:blipFill>
                    <a:blip r:embed="rId225"/>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66. Aseguramiento SGSSS</w:t>
      </w:r>
    </w:p>
    <w:p>
      <w:pPr>
        <w:pStyle w:val="CaptionedFigure"/>
      </w:pPr>
      <w:r>
        <w:drawing>
          <wp:inline>
            <wp:extent cx="5600700" cy="3901811"/>
            <wp:effectExtent b="0" l="0" r="0" t="0"/>
            <wp:docPr descr="67. Bajo peso" title="" id="229" name="Picture"/>
            <a:graphic>
              <a:graphicData uri="http://schemas.openxmlformats.org/drawingml/2006/picture">
                <pic:pic>
                  <pic:nvPicPr>
                    <pic:cNvPr descr="03_Outputs/Bioenergetica_Norte/09_Salud/figuras/fig_02_bajo_peso.png" id="230" name="Picture"/>
                    <pic:cNvPicPr>
                      <a:picLocks noChangeArrowheads="1" noChangeAspect="1"/>
                    </pic:cNvPicPr>
                  </pic:nvPicPr>
                  <pic:blipFill>
                    <a:blip r:embed="rId228"/>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67. Bajo peso</w:t>
      </w:r>
    </w:p>
    <w:p>
      <w:pPr>
        <w:pStyle w:val="CaptionedFigure"/>
      </w:pPr>
      <w:r>
        <w:drawing>
          <wp:inline>
            <wp:extent cx="5600700" cy="3901811"/>
            <wp:effectExtent b="0" l="0" r="0" t="0"/>
            <wp:docPr descr="68. Enfermedades vectores" title="" id="232" name="Picture"/>
            <a:graphic>
              <a:graphicData uri="http://schemas.openxmlformats.org/drawingml/2006/picture">
                <pic:pic>
                  <pic:nvPicPr>
                    <pic:cNvPr descr="03_Outputs/Bioenergetica_Norte/09_Salud/figuras/fig_03_enfermedades_vectores.png" id="233" name="Picture"/>
                    <pic:cNvPicPr>
                      <a:picLocks noChangeArrowheads="1" noChangeAspect="1"/>
                    </pic:cNvPicPr>
                  </pic:nvPicPr>
                  <pic:blipFill>
                    <a:blip r:embed="rId231"/>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68. Enfermedades vectores</w:t>
      </w:r>
    </w:p>
    <w:p>
      <w:pPr>
        <w:pStyle w:val="CaptionedFigure"/>
      </w:pPr>
      <w:r>
        <w:drawing>
          <wp:inline>
            <wp:extent cx="5600700" cy="5496928"/>
            <wp:effectExtent b="0" l="0" r="0" t="0"/>
            <wp:docPr descr="69. Suicidios" title="" id="235" name="Picture"/>
            <a:graphic>
              <a:graphicData uri="http://schemas.openxmlformats.org/drawingml/2006/picture">
                <pic:pic>
                  <pic:nvPicPr>
                    <pic:cNvPr descr="03_Outputs/Bioenergetica_Norte/09_Salud/figuras/fig_04_suicidios.png" id="236" name="Picture"/>
                    <pic:cNvPicPr>
                      <a:picLocks noChangeArrowheads="1" noChangeAspect="1"/>
                    </pic:cNvPicPr>
                  </pic:nvPicPr>
                  <pic:blipFill>
                    <a:blip r:embed="rId234"/>
                    <a:stretch>
                      <a:fillRect/>
                    </a:stretch>
                  </pic:blipFill>
                  <pic:spPr bwMode="auto">
                    <a:xfrm>
                      <a:off x="0" y="0"/>
                      <a:ext cx="5600700" cy="5496928"/>
                    </a:xfrm>
                    <a:prstGeom prst="rect">
                      <a:avLst/>
                    </a:prstGeom>
                    <a:noFill/>
                    <a:ln w="9525">
                      <a:noFill/>
                      <a:headEnd/>
                      <a:tailEnd/>
                    </a:ln>
                  </pic:spPr>
                </pic:pic>
              </a:graphicData>
            </a:graphic>
          </wp:inline>
        </w:drawing>
      </w:r>
    </w:p>
    <w:p>
      <w:pPr>
        <w:pStyle w:val="ImageCaption"/>
      </w:pPr>
      <w:r>
        <w:t xml:space="preserve">69. Suicidios</w:t>
      </w:r>
    </w:p>
    <w:p>
      <w:pPr>
        <w:pStyle w:val="CaptionedFigure"/>
      </w:pPr>
      <w:r>
        <w:drawing>
          <wp:inline>
            <wp:extent cx="5600700" cy="3901811"/>
            <wp:effectExtent b="0" l="0" r="0" t="0"/>
            <wp:docPr descr="70. Enfermedades vectores 2024" title="" id="238" name="Picture"/>
            <a:graphic>
              <a:graphicData uri="http://schemas.openxmlformats.org/drawingml/2006/picture">
                <pic:pic>
                  <pic:nvPicPr>
                    <pic:cNvPr descr="03_Outputs/Bioenergetica_Norte/09_Salud/figuras/fig_05_enfermedades_vectores_2024.png" id="239" name="Picture"/>
                    <pic:cNvPicPr>
                      <a:picLocks noChangeArrowheads="1" noChangeAspect="1"/>
                    </pic:cNvPicPr>
                  </pic:nvPicPr>
                  <pic:blipFill>
                    <a:blip r:embed="rId237"/>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70. Enfermedades vectores 2024</w:t>
      </w:r>
    </w:p>
    <w:p>
      <w:pPr>
        <w:pStyle w:val="CaptionedFigure"/>
      </w:pPr>
      <w:r>
        <w:drawing>
          <wp:inline>
            <wp:extent cx="5600700" cy="3901811"/>
            <wp:effectExtent b="0" l="0" r="0" t="0"/>
            <wp:docPr descr="71. Mortalidad infantil" title="" id="241" name="Picture"/>
            <a:graphic>
              <a:graphicData uri="http://schemas.openxmlformats.org/drawingml/2006/picture">
                <pic:pic>
                  <pic:nvPicPr>
                    <pic:cNvPr descr="03_Outputs/Bioenergetica_Norte/09_Salud/figuras/fig_06_mortalidad_infantil.png" id="242" name="Picture"/>
                    <pic:cNvPicPr>
                      <a:picLocks noChangeArrowheads="1" noChangeAspect="1"/>
                    </pic:cNvPicPr>
                  </pic:nvPicPr>
                  <pic:blipFill>
                    <a:blip r:embed="rId240"/>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71. Mortalidad infantil</w:t>
      </w:r>
    </w:p>
    <w:p>
      <w:pPr>
        <w:pStyle w:val="CaptionedFigure"/>
      </w:pPr>
      <w:r>
        <w:drawing>
          <wp:inline>
            <wp:extent cx="5600700" cy="5496928"/>
            <wp:effectExtent b="0" l="0" r="0" t="0"/>
            <wp:docPr descr="72. Suicidios 2022 2024" title="" id="244" name="Picture"/>
            <a:graphic>
              <a:graphicData uri="http://schemas.openxmlformats.org/drawingml/2006/picture">
                <pic:pic>
                  <pic:nvPicPr>
                    <pic:cNvPr descr="03_Outputs/Bioenergetica_Norte/09_Salud/figuras/fig_07_suicidios_2022_2024.png" id="245" name="Picture"/>
                    <pic:cNvPicPr>
                      <a:picLocks noChangeArrowheads="1" noChangeAspect="1"/>
                    </pic:cNvPicPr>
                  </pic:nvPicPr>
                  <pic:blipFill>
                    <a:blip r:embed="rId243"/>
                    <a:stretch>
                      <a:fillRect/>
                    </a:stretch>
                  </pic:blipFill>
                  <pic:spPr bwMode="auto">
                    <a:xfrm>
                      <a:off x="0" y="0"/>
                      <a:ext cx="5600700" cy="5496928"/>
                    </a:xfrm>
                    <a:prstGeom prst="rect">
                      <a:avLst/>
                    </a:prstGeom>
                    <a:noFill/>
                    <a:ln w="9525">
                      <a:noFill/>
                      <a:headEnd/>
                      <a:tailEnd/>
                    </a:ln>
                  </pic:spPr>
                </pic:pic>
              </a:graphicData>
            </a:graphic>
          </wp:inline>
        </w:drawing>
      </w:r>
    </w:p>
    <w:p>
      <w:pPr>
        <w:pStyle w:val="ImageCaption"/>
      </w:pPr>
      <w:r>
        <w:t xml:space="preserve">72. Suicidios 2022 2024</w:t>
      </w:r>
    </w:p>
    <w:bookmarkEnd w:id="246"/>
    <w:bookmarkStart w:id="274" w:name="seguridad-paz-y-derechos-humanos"/>
    <w:p>
      <w:pPr>
        <w:pStyle w:val="Heading3"/>
      </w:pPr>
      <w:r>
        <w:t xml:space="preserve">Seguridad, Paz y Derechos Humanos</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En resumen — Seguridad, Paz y Derechos Humanos</w:t>
            </w:r>
          </w:p>
        </w:tc>
      </w:tr>
      <w:tr>
        <w:tc>
          <w:tcPr/>
          <w:p>
            <w:pPr>
              <w:pStyle w:val="Compact"/>
              <w:jc w:val="left"/>
            </w:pPr>
            <w:r>
              <w:t xml:space="preserve">Mayor tasa de homicidios: San Andrés de Cuerquía (391,8)</w:t>
            </w:r>
          </w:p>
        </w:tc>
      </w:tr>
      <w:tr>
        <w:tc>
          <w:tcPr/>
          <w:p>
            <w:pPr>
              <w:pStyle w:val="Compact"/>
              <w:jc w:val="left"/>
            </w:pPr>
            <w:r>
              <w:t xml:space="preserve">Victimizaciones del conflicto armado: 181.813</w:t>
            </w:r>
          </w:p>
        </w:tc>
      </w:tr>
      <w:tr>
        <w:tc>
          <w:tcPr/>
          <w:p>
            <w:pPr>
              <w:pStyle w:val="Compact"/>
              <w:jc w:val="left"/>
            </w:pPr>
            <w:r>
              <w:t xml:space="preserve">Sujetos de reparación colectiva reconocidos: 7</w:t>
            </w:r>
          </w:p>
        </w:tc>
      </w:tr>
    </w:tbl>
    <w:p>
      <w:pPr>
        <w:pStyle w:val="BodyText"/>
      </w:pPr>
      <w:r>
        <w:t xml:space="preserve">Esta sección reúne tres registros que en la Provincia Bioenergética del Norte de Antioquia se solapan: la seguridad y convivencia del presente, la huella del conflicto armado y la situación de derechos humanos. Se presentan por separado porque responden a políticas distintas, pero se leen mejor juntos.</w:t>
      </w:r>
    </w:p>
    <w:bookmarkStart w:id="247" w:name="seguridad-y-convivencia-ciudadana"/>
    <w:p>
      <w:pPr>
        <w:pStyle w:val="Heading4"/>
      </w:pPr>
      <w:r>
        <w:t xml:space="preserve">Seguridad y convivencia ciudadana</w:t>
      </w:r>
    </w:p>
    <w:p>
      <w:pPr>
        <w:pStyle w:val="FirstParagraph"/>
      </w:pPr>
      <w:r>
        <w:t xml:space="preserve">Las tasas de homicidio más altas de la Provincia corresponden a San Andrés de Cuerquía (391,8) y Briceño (226,2), con una tasa provincial de 111,7 por cada cien mil habitantes, por encima del departamento (25,3), con una diferencia de 341 %. En el mapa, los 3 municipios con los valores más altos forman un patrón parcialmente contiguo.</w:t>
      </w:r>
    </w:p>
    <w:p>
      <w:pPr>
        <w:pStyle w:val="BodyText"/>
      </w:pPr>
      <w:r>
        <w:t xml:space="preserve">Los delitos contra el patrimonio y la violencia intrafamiliar dibujan un mapa distinto: el hurto se concentra en Yarumal (121,8) y Carolina del Príncipe (101,5) y la violencia intrafamiliar en Carolina del Príncipe (304,4) y Toledo (248,8). Que no coincidan con la geografía del homicidio es esperable —responden a dinámicas diferentes— y es una razón para no reducir la política de seguridad a un solo indicador.</w:t>
      </w:r>
    </w:p>
    <w:p>
      <w:pPr>
        <w:pStyle w:val="BodyText"/>
      </w:pPr>
      <w:r>
        <w:t xml:space="preserve">El Índice de Riesgo de Victimización clasifica a los municipios según su exposición prospectiva. En la Provincia, la categoría más frecuente es «Alto», con 5 municipios, y los valores más altos corresponden a Briceño (0,8416) e Ituango (0,8337). A diferencia de las tasas de delito, que describen lo ocurrido, el IRV anticipa: es la medida más útil para priorizar prevención.</w:t>
      </w:r>
    </w:p>
    <w:p>
      <w:pPr>
        <w:pStyle w:val="BlockText"/>
      </w:pPr>
      <w:r>
        <w:rPr>
          <w:b/>
          <w:bCs/>
        </w:rPr>
        <w:t xml:space="preserve">Verificar con el equipo</w:t>
      </w:r>
      <w:r>
        <w:t xml:space="preserve"> </w:t>
      </w:r>
      <w:r>
        <w:t xml:space="preserve">— qué actores y economías ilegales operan en la Provincia y cómo se relacionan con los corredores de movilidad. Las tasas describen el resultado; la explicación exige información de contexto que no está en estas fuentes.</w:t>
      </w:r>
    </w:p>
    <w:p>
      <w:pPr>
        <w:pStyle w:val="FirstParagraph"/>
      </w:pPr>
      <w:r>
        <w:rPr>
          <w:b/>
          <w:bCs/>
        </w:rPr>
        <w:t xml:space="preserve">Tabla 6.</w:t>
      </w:r>
      <w:r>
        <w:t xml:space="preserve"> </w:t>
      </w:r>
      <w:r>
        <w:t xml:space="preserve">Tasas de delitos de alto impacto en la Provincia Bioenergética del Norte de Antioquia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Municipio</w:t>
            </w:r>
          </w:p>
        </w:tc>
        <w:tc>
          <w:tcPr/>
          <w:p>
            <w:pPr>
              <w:pStyle w:val="Compact"/>
            </w:pPr>
            <w:r>
              <w:t xml:space="preserve">Homicidios por 100.000 hab.</w:t>
            </w:r>
          </w:p>
        </w:tc>
        <w:tc>
          <w:tcPr/>
          <w:p>
            <w:pPr>
              <w:pStyle w:val="Compact"/>
            </w:pPr>
            <w:r>
              <w:t xml:space="preserve">Hurtos por 100.000 hab.</w:t>
            </w:r>
          </w:p>
        </w:tc>
        <w:tc>
          <w:tcPr/>
          <w:p>
            <w:pPr>
              <w:pStyle w:val="Compact"/>
            </w:pPr>
            <w:r>
              <w:t xml:space="preserve">Violencia intrafamiliar por 100.000 hab.</w:t>
            </w:r>
          </w:p>
        </w:tc>
        <w:tc>
          <w:tcPr/>
          <w:p>
            <w:pPr>
              <w:pStyle w:val="Compact"/>
            </w:pPr>
            <w:r>
              <w:t xml:space="preserve">Delitos sexuales por 100.000 hab.</w:t>
            </w:r>
          </w:p>
        </w:tc>
      </w:tr>
      <w:tr>
        <w:tc>
          <w:tcPr/>
          <w:p>
            <w:pPr>
              <w:pStyle w:val="Compact"/>
            </w:pPr>
            <w:r>
              <w:t xml:space="preserve">Angostura</w:t>
            </w:r>
          </w:p>
        </w:tc>
        <w:tc>
          <w:tcPr/>
          <w:p>
            <w:pPr>
              <w:pStyle w:val="Compact"/>
            </w:pPr>
            <w:r>
              <w:t xml:space="preserve">55,95</w:t>
            </w:r>
          </w:p>
        </w:tc>
        <w:tc>
          <w:tcPr/>
          <w:p>
            <w:pPr>
              <w:pStyle w:val="Compact"/>
            </w:pPr>
            <w:r>
              <w:t xml:space="preserve">15,99</w:t>
            </w:r>
          </w:p>
        </w:tc>
        <w:tc>
          <w:tcPr/>
          <w:p>
            <w:pPr>
              <w:pStyle w:val="Compact"/>
            </w:pPr>
            <w:r>
              <w:t xml:space="preserve">103,91</w:t>
            </w:r>
          </w:p>
        </w:tc>
        <w:tc>
          <w:tcPr/>
          <w:p>
            <w:pPr>
              <w:pStyle w:val="Compact"/>
            </w:pPr>
            <w:r>
              <w:t xml:space="preserve">31,97</w:t>
            </w:r>
          </w:p>
        </w:tc>
      </w:tr>
      <w:tr>
        <w:tc>
          <w:tcPr/>
          <w:p>
            <w:pPr>
              <w:pStyle w:val="Compact"/>
            </w:pPr>
            <w:r>
              <w:t xml:space="preserve">Anorí</w:t>
            </w:r>
          </w:p>
        </w:tc>
        <w:tc>
          <w:tcPr/>
          <w:p>
            <w:pPr>
              <w:pStyle w:val="Compact"/>
            </w:pPr>
            <w:r>
              <w:t xml:space="preserve">218,68</w:t>
            </w:r>
          </w:p>
        </w:tc>
        <w:tc>
          <w:tcPr/>
          <w:p>
            <w:pPr>
              <w:pStyle w:val="Compact"/>
            </w:pPr>
            <w:r>
              <w:t xml:space="preserve">33,28</w:t>
            </w:r>
          </w:p>
        </w:tc>
        <w:tc>
          <w:tcPr/>
          <w:p>
            <w:pPr>
              <w:pStyle w:val="Compact"/>
            </w:pPr>
            <w:r>
              <w:t xml:space="preserve">99,83</w:t>
            </w:r>
          </w:p>
        </w:tc>
        <w:tc>
          <w:tcPr/>
          <w:p>
            <w:pPr>
              <w:pStyle w:val="Compact"/>
            </w:pPr>
            <w:r>
              <w:t xml:space="preserve">71,31</w:t>
            </w:r>
          </w:p>
        </w:tc>
      </w:tr>
      <w:tr>
        <w:tc>
          <w:tcPr/>
          <w:p>
            <w:pPr>
              <w:pStyle w:val="Compact"/>
            </w:pPr>
            <w:r>
              <w:t xml:space="preserve">Briceño</w:t>
            </w:r>
          </w:p>
        </w:tc>
        <w:tc>
          <w:tcPr/>
          <w:p>
            <w:pPr>
              <w:pStyle w:val="Compact"/>
            </w:pPr>
            <w:r>
              <w:t xml:space="preserve">226,22</w:t>
            </w:r>
          </w:p>
        </w:tc>
        <w:tc>
          <w:tcPr/>
          <w:p>
            <w:pPr>
              <w:pStyle w:val="Compact"/>
            </w:pPr>
            <w:r>
              <w:t xml:space="preserve">12,57</w:t>
            </w:r>
          </w:p>
        </w:tc>
        <w:tc>
          <w:tcPr/>
          <w:p>
            <w:pPr>
              <w:pStyle w:val="Compact"/>
            </w:pPr>
            <w:r>
              <w:t xml:space="preserve">188,51</w:t>
            </w:r>
          </w:p>
        </w:tc>
        <w:tc>
          <w:tcPr/>
          <w:p>
            <w:pPr>
              <w:pStyle w:val="Compact"/>
            </w:pPr>
            <w:r>
              <w:t xml:space="preserve">62,84</w:t>
            </w:r>
          </w:p>
        </w:tc>
      </w:tr>
      <w:tr>
        <w:tc>
          <w:tcPr/>
          <w:p>
            <w:pPr>
              <w:pStyle w:val="Compact"/>
            </w:pPr>
            <w:r>
              <w:t xml:space="preserve">Campamento</w:t>
            </w:r>
          </w:p>
        </w:tc>
        <w:tc>
          <w:tcPr/>
          <w:p>
            <w:pPr>
              <w:pStyle w:val="Compact"/>
            </w:pPr>
            <w:r>
              <w:t xml:space="preserve">99,95</w:t>
            </w:r>
          </w:p>
        </w:tc>
        <w:tc>
          <w:tcPr/>
          <w:p>
            <w:pPr>
              <w:pStyle w:val="Compact"/>
            </w:pPr>
            <w:r>
              <w:t xml:space="preserve">10,00</w:t>
            </w:r>
          </w:p>
        </w:tc>
        <w:tc>
          <w:tcPr/>
          <w:p>
            <w:pPr>
              <w:pStyle w:val="Compact"/>
            </w:pPr>
            <w:r>
              <w:t xml:space="preserve">49,98</w:t>
            </w:r>
          </w:p>
        </w:tc>
        <w:tc>
          <w:tcPr/>
          <w:p>
            <w:pPr>
              <w:pStyle w:val="Compact"/>
            </w:pPr>
            <w:r>
              <w:t xml:space="preserve">79,96</w:t>
            </w:r>
          </w:p>
        </w:tc>
      </w:tr>
      <w:tr>
        <w:tc>
          <w:tcPr/>
          <w:p>
            <w:pPr>
              <w:pStyle w:val="Compact"/>
            </w:pPr>
            <w:r>
              <w:t xml:space="preserve">Carolina del Príncipe</w:t>
            </w:r>
          </w:p>
        </w:tc>
        <w:tc>
          <w:tcPr/>
          <w:p>
            <w:pPr>
              <w:pStyle w:val="Compact"/>
            </w:pPr>
            <w:r>
              <w:t xml:space="preserve">76,10</w:t>
            </w:r>
          </w:p>
        </w:tc>
        <w:tc>
          <w:tcPr/>
          <w:p>
            <w:pPr>
              <w:pStyle w:val="Compact"/>
            </w:pPr>
            <w:r>
              <w:t xml:space="preserve">101,47</w:t>
            </w:r>
          </w:p>
        </w:tc>
        <w:tc>
          <w:tcPr/>
          <w:p>
            <w:pPr>
              <w:pStyle w:val="Compact"/>
            </w:pPr>
            <w:r>
              <w:t xml:space="preserve">304,41</w:t>
            </w:r>
          </w:p>
        </w:tc>
        <w:tc>
          <w:tcPr/>
          <w:p>
            <w:pPr>
              <w:pStyle w:val="Compact"/>
            </w:pPr>
            <w:r>
              <w:t xml:space="preserve">50,74</w:t>
            </w:r>
          </w:p>
        </w:tc>
      </w:tr>
      <w:tr>
        <w:tc>
          <w:tcPr/>
          <w:p>
            <w:pPr>
              <w:pStyle w:val="Compact"/>
            </w:pPr>
            <w:r>
              <w:t xml:space="preserve">Guadalupe</w:t>
            </w:r>
          </w:p>
        </w:tc>
        <w:tc>
          <w:tcPr/>
          <w:p>
            <w:pPr>
              <w:pStyle w:val="Compact"/>
            </w:pPr>
            <w:r>
              <w:t xml:space="preserve">42,80</w:t>
            </w:r>
          </w:p>
        </w:tc>
        <w:tc>
          <w:tcPr/>
          <w:p>
            <w:pPr>
              <w:pStyle w:val="Compact"/>
            </w:pPr>
            <w:r>
              <w:t xml:space="preserve">28,53</w:t>
            </w:r>
          </w:p>
        </w:tc>
        <w:tc>
          <w:tcPr/>
          <w:p>
            <w:pPr>
              <w:pStyle w:val="Compact"/>
            </w:pPr>
            <w:r>
              <w:t xml:space="preserve">99,87</w:t>
            </w:r>
          </w:p>
        </w:tc>
        <w:tc>
          <w:tcPr/>
          <w:p>
            <w:pPr>
              <w:pStyle w:val="Compact"/>
            </w:pPr>
            <w:r>
              <w:t xml:space="preserve">71,34</w:t>
            </w:r>
          </w:p>
        </w:tc>
      </w:tr>
      <w:tr>
        <w:tc>
          <w:tcPr/>
          <w:p>
            <w:pPr>
              <w:pStyle w:val="Compact"/>
            </w:pPr>
            <w:r>
              <w:t xml:space="preserve">Gómez Plata</w:t>
            </w:r>
          </w:p>
        </w:tc>
        <w:tc>
          <w:tcPr/>
          <w:p>
            <w:pPr>
              <w:pStyle w:val="Compact"/>
            </w:pPr>
            <w:r>
              <w:t xml:space="preserve">57,84</w:t>
            </w:r>
          </w:p>
        </w:tc>
        <w:tc>
          <w:tcPr/>
          <w:p>
            <w:pPr>
              <w:pStyle w:val="Compact"/>
            </w:pPr>
            <w:r>
              <w:t xml:space="preserve">48,20</w:t>
            </w:r>
          </w:p>
        </w:tc>
        <w:tc>
          <w:tcPr/>
          <w:p>
            <w:pPr>
              <w:pStyle w:val="Compact"/>
            </w:pPr>
            <w:r>
              <w:t xml:space="preserve">96,40</w:t>
            </w:r>
          </w:p>
        </w:tc>
        <w:tc>
          <w:tcPr/>
          <w:p>
            <w:pPr>
              <w:pStyle w:val="Compact"/>
            </w:pPr>
            <w:r>
              <w:t xml:space="preserve">57,84</w:t>
            </w:r>
          </w:p>
        </w:tc>
      </w:tr>
      <w:tr>
        <w:tc>
          <w:tcPr/>
          <w:p>
            <w:pPr>
              <w:pStyle w:val="Compact"/>
            </w:pPr>
            <w:r>
              <w:t xml:space="preserve">Ituango</w:t>
            </w:r>
          </w:p>
        </w:tc>
        <w:tc>
          <w:tcPr/>
          <w:p>
            <w:pPr>
              <w:pStyle w:val="Compact"/>
            </w:pPr>
            <w:r>
              <w:t xml:space="preserve">71,15</w:t>
            </w:r>
          </w:p>
        </w:tc>
        <w:tc>
          <w:tcPr/>
          <w:p>
            <w:pPr>
              <w:pStyle w:val="Compact"/>
            </w:pPr>
            <w:r>
              <w:t xml:space="preserve">10,16</w:t>
            </w:r>
          </w:p>
        </w:tc>
        <w:tc>
          <w:tcPr/>
          <w:p>
            <w:pPr>
              <w:pStyle w:val="Compact"/>
            </w:pPr>
            <w:r>
              <w:t xml:space="preserve">40,66</w:t>
            </w:r>
          </w:p>
        </w:tc>
        <w:tc>
          <w:tcPr/>
          <w:p>
            <w:pPr>
              <w:pStyle w:val="Compact"/>
            </w:pPr>
            <w:r>
              <w:t xml:space="preserve">166,02</w:t>
            </w:r>
          </w:p>
        </w:tc>
      </w:tr>
      <w:tr>
        <w:tc>
          <w:tcPr/>
          <w:p>
            <w:pPr>
              <w:pStyle w:val="Compact"/>
            </w:pPr>
            <w:r>
              <w:t xml:space="preserve">San Andrés de Cuerquía</w:t>
            </w:r>
          </w:p>
        </w:tc>
        <w:tc>
          <w:tcPr/>
          <w:p>
            <w:pPr>
              <w:pStyle w:val="Compact"/>
            </w:pPr>
            <w:r>
              <w:t xml:space="preserve">391,79</w:t>
            </w:r>
          </w:p>
        </w:tc>
        <w:tc>
          <w:tcPr/>
          <w:p>
            <w:pPr>
              <w:pStyle w:val="Compact"/>
            </w:pPr>
            <w:r>
              <w:t xml:space="preserve">54,04</w:t>
            </w:r>
          </w:p>
        </w:tc>
        <w:tc>
          <w:tcPr/>
          <w:p>
            <w:pPr>
              <w:pStyle w:val="Compact"/>
            </w:pPr>
            <w:r>
              <w:t xml:space="preserve">202,65</w:t>
            </w:r>
          </w:p>
        </w:tc>
        <w:tc>
          <w:tcPr/>
          <w:p>
            <w:pPr>
              <w:pStyle w:val="Compact"/>
            </w:pPr>
            <w:r>
              <w:t xml:space="preserve">67,55</w:t>
            </w:r>
          </w:p>
        </w:tc>
      </w:tr>
      <w:tr>
        <w:tc>
          <w:tcPr/>
          <w:p>
            <w:pPr>
              <w:pStyle w:val="Compact"/>
            </w:pPr>
            <w:r>
              <w:t xml:space="preserve">San José de la Montaña</w:t>
            </w:r>
          </w:p>
        </w:tc>
        <w:tc>
          <w:tcPr/>
          <w:p>
            <w:pPr>
              <w:pStyle w:val="Compact"/>
            </w:pPr>
            <w:r>
              <w:t xml:space="preserve">74,68</w:t>
            </w:r>
          </w:p>
        </w:tc>
        <w:tc>
          <w:tcPr/>
          <w:p>
            <w:pPr>
              <w:pStyle w:val="Compact"/>
            </w:pPr>
            <w:r>
              <w:t xml:space="preserve">49,79</w:t>
            </w:r>
          </w:p>
        </w:tc>
        <w:tc>
          <w:tcPr/>
          <w:p>
            <w:pPr>
              <w:pStyle w:val="Compact"/>
            </w:pPr>
            <w:r>
              <w:t xml:space="preserve">199,15</w:t>
            </w:r>
          </w:p>
        </w:tc>
        <w:tc>
          <w:tcPr/>
          <w:p>
            <w:pPr>
              <w:pStyle w:val="Compact"/>
            </w:pPr>
            <w:r>
              <w:t xml:space="preserve">49,79</w:t>
            </w:r>
          </w:p>
        </w:tc>
      </w:tr>
      <w:tr>
        <w:tc>
          <w:tcPr/>
          <w:p>
            <w:pPr>
              <w:pStyle w:val="Compact"/>
            </w:pPr>
            <w:r>
              <w:t xml:space="preserve">Toledo</w:t>
            </w:r>
          </w:p>
        </w:tc>
        <w:tc>
          <w:tcPr/>
          <w:p>
            <w:pPr>
              <w:pStyle w:val="Compact"/>
            </w:pPr>
            <w:r>
              <w:t xml:space="preserve">124,38</w:t>
            </w:r>
          </w:p>
        </w:tc>
        <w:tc>
          <w:tcPr/>
          <w:p>
            <w:pPr>
              <w:pStyle w:val="Compact"/>
            </w:pPr>
            <w:r>
              <w:t xml:space="preserve">20,73</w:t>
            </w:r>
          </w:p>
        </w:tc>
        <w:tc>
          <w:tcPr/>
          <w:p>
            <w:pPr>
              <w:pStyle w:val="Compact"/>
            </w:pPr>
            <w:r>
              <w:t xml:space="preserve">248,76</w:t>
            </w:r>
          </w:p>
        </w:tc>
        <w:tc>
          <w:tcPr/>
          <w:p>
            <w:pPr>
              <w:pStyle w:val="Compact"/>
            </w:pPr>
            <w:r>
              <w:t xml:space="preserve">41,46</w:t>
            </w:r>
          </w:p>
        </w:tc>
      </w:tr>
      <w:tr>
        <w:tc>
          <w:tcPr/>
          <w:p>
            <w:pPr>
              <w:pStyle w:val="Compact"/>
            </w:pPr>
            <w:r>
              <w:t xml:space="preserve">Valdivia</w:t>
            </w:r>
          </w:p>
        </w:tc>
        <w:tc>
          <w:tcPr/>
          <w:p>
            <w:pPr>
              <w:pStyle w:val="Compact"/>
            </w:pPr>
            <w:r>
              <w:t xml:space="preserve">126,55</w:t>
            </w:r>
          </w:p>
        </w:tc>
        <w:tc>
          <w:tcPr/>
          <w:p>
            <w:pPr>
              <w:pStyle w:val="Compact"/>
            </w:pPr>
            <w:r>
              <w:t xml:space="preserve">26,64</w:t>
            </w:r>
          </w:p>
        </w:tc>
        <w:tc>
          <w:tcPr/>
          <w:p>
            <w:pPr>
              <w:pStyle w:val="Compact"/>
            </w:pPr>
            <w:r>
              <w:t xml:space="preserve">0,00</w:t>
            </w:r>
          </w:p>
        </w:tc>
        <w:tc>
          <w:tcPr/>
          <w:p>
            <w:pPr>
              <w:pStyle w:val="Compact"/>
            </w:pPr>
            <w:r>
              <w:t xml:space="preserve">0,00</w:t>
            </w:r>
          </w:p>
        </w:tc>
      </w:tr>
      <w:tr>
        <w:tc>
          <w:tcPr/>
          <w:p>
            <w:pPr>
              <w:pStyle w:val="Compact"/>
            </w:pPr>
            <w:r>
              <w:t xml:space="preserve">Yarumal</w:t>
            </w:r>
          </w:p>
        </w:tc>
        <w:tc>
          <w:tcPr/>
          <w:p>
            <w:pPr>
              <w:pStyle w:val="Compact"/>
            </w:pPr>
            <w:r>
              <w:t xml:space="preserve">59,69</w:t>
            </w:r>
          </w:p>
        </w:tc>
        <w:tc>
          <w:tcPr/>
          <w:p>
            <w:pPr>
              <w:pStyle w:val="Compact"/>
            </w:pPr>
            <w:r>
              <w:t xml:space="preserve">121,76</w:t>
            </w:r>
          </w:p>
        </w:tc>
        <w:tc>
          <w:tcPr/>
          <w:p>
            <w:pPr>
              <w:pStyle w:val="Compact"/>
            </w:pPr>
            <w:r>
              <w:t xml:space="preserve">167,13</w:t>
            </w:r>
          </w:p>
        </w:tc>
        <w:tc>
          <w:tcPr/>
          <w:p>
            <w:pPr>
              <w:pStyle w:val="Compact"/>
            </w:pPr>
            <w:r>
              <w:t xml:space="preserve">69,24</w:t>
            </w:r>
          </w:p>
        </w:tc>
      </w:tr>
      <w:tr>
        <w:tc>
          <w:tcPr/>
          <w:p>
            <w:pPr>
              <w:pStyle w:val="Compact"/>
            </w:pPr>
            <w:r>
              <w:t xml:space="preserve">TOTAL PROVINCIA BIOENERGÉTICA DEL NORTE DE ANTIOQUIA</w:t>
            </w:r>
          </w:p>
        </w:tc>
        <w:tc>
          <w:tcPr/>
          <w:p>
            <w:pPr>
              <w:pStyle w:val="Compact"/>
            </w:pPr>
            <w:r>
              <w:t xml:space="preserve">111,69</w:t>
            </w:r>
          </w:p>
        </w:tc>
        <w:tc>
          <w:tcPr/>
          <w:p>
            <w:pPr>
              <w:pStyle w:val="Compact"/>
            </w:pPr>
            <w:r>
              <w:t xml:space="preserve">49,58</w:t>
            </w:r>
          </w:p>
        </w:tc>
        <w:tc>
          <w:tcPr/>
          <w:p>
            <w:pPr>
              <w:pStyle w:val="Compact"/>
            </w:pPr>
            <w:r>
              <w:t xml:space="preserve">113,97</w:t>
            </w:r>
          </w:p>
        </w:tc>
        <w:tc>
          <w:tcPr/>
          <w:p>
            <w:pPr>
              <w:pStyle w:val="Compact"/>
            </w:pPr>
            <w:r>
              <w:t xml:space="preserve">75,22</w:t>
            </w:r>
          </w:p>
        </w:tc>
      </w:tr>
      <w:tr>
        <w:tc>
          <w:tcPr/>
          <w:p>
            <w:pPr>
              <w:pStyle w:val="Compact"/>
            </w:pPr>
            <w:r>
              <w:t xml:space="preserve">TOTAL SUBREGIÓN NORTE</w:t>
            </w:r>
          </w:p>
        </w:tc>
        <w:tc>
          <w:tcPr/>
          <w:p>
            <w:pPr>
              <w:pStyle w:val="Compact"/>
            </w:pPr>
            <w:r>
              <w:t xml:space="preserve">69,62</w:t>
            </w:r>
          </w:p>
        </w:tc>
        <w:tc>
          <w:tcPr/>
          <w:p>
            <w:pPr>
              <w:pStyle w:val="Compact"/>
            </w:pPr>
            <w:r>
              <w:t xml:space="preserve">80,57</w:t>
            </w:r>
          </w:p>
        </w:tc>
        <w:tc>
          <w:tcPr/>
          <w:p>
            <w:pPr>
              <w:pStyle w:val="Compact"/>
            </w:pPr>
            <w:r>
              <w:t xml:space="preserve">123,59</w:t>
            </w:r>
          </w:p>
        </w:tc>
        <w:tc>
          <w:tcPr/>
          <w:p>
            <w:pPr>
              <w:pStyle w:val="Compact"/>
            </w:pPr>
            <w:r>
              <w:t xml:space="preserve">75,09</w:t>
            </w:r>
          </w:p>
        </w:tc>
      </w:tr>
      <w:tr>
        <w:tc>
          <w:tcPr/>
          <w:p>
            <w:pPr>
              <w:pStyle w:val="Compact"/>
            </w:pPr>
            <w:r>
              <w:t xml:space="preserve">TOTAL DEPARTAMENTO (ANTIOQUIA)</w:t>
            </w:r>
          </w:p>
        </w:tc>
        <w:tc>
          <w:tcPr/>
          <w:p>
            <w:pPr>
              <w:pStyle w:val="Compact"/>
            </w:pPr>
            <w:r>
              <w:t xml:space="preserve">25,33</w:t>
            </w:r>
          </w:p>
        </w:tc>
        <w:tc>
          <w:tcPr/>
          <w:p>
            <w:pPr>
              <w:pStyle w:val="Compact"/>
            </w:pPr>
            <w:r>
              <w:t xml:space="preserve">506,74</w:t>
            </w:r>
          </w:p>
        </w:tc>
        <w:tc>
          <w:tcPr/>
          <w:p>
            <w:pPr>
              <w:pStyle w:val="Compact"/>
            </w:pPr>
            <w:r>
              <w:t xml:space="preserve">276,47</w:t>
            </w:r>
          </w:p>
        </w:tc>
        <w:tc>
          <w:tcPr/>
          <w:p>
            <w:pPr>
              <w:pStyle w:val="Compact"/>
            </w:pPr>
            <w:r>
              <w:t xml:space="preserve">71,92</w:t>
            </w:r>
          </w:p>
        </w:tc>
      </w:tr>
    </w:tbl>
    <w:p>
      <w:pPr>
        <w:pStyle w:val="BodyText"/>
      </w:pPr>
      <w:r>
        <w:rPr>
          <w:i/>
          <w:iCs/>
        </w:rPr>
        <w:t xml:space="preserve">Fuente: Policía Nacional, SIEDCO. Cálculos propios.</w:t>
      </w:r>
    </w:p>
    <w:bookmarkEnd w:id="247"/>
    <w:bookmarkStart w:id="248" w:name="paz"/>
    <w:p>
      <w:pPr>
        <w:pStyle w:val="Heading4"/>
      </w:pPr>
      <w:r>
        <w:t xml:space="preserve">Paz</w:t>
      </w:r>
    </w:p>
    <w:p>
      <w:pPr>
        <w:pStyle w:val="FirstParagraph"/>
      </w:pPr>
      <w:r>
        <w:t xml:space="preserve">La Provincia registra 181.813 victimizaciones por ocurrencia del conflicto armado, concentrada: Ituango y Valdivia reúnen el 46 % del total. Son victimizaciones y no personas —una misma persona puede aparecer en más de un hecho—, de modo que la cifra mide la intensidad del daño y no el número de víctimas.</w:t>
      </w:r>
    </w:p>
    <w:p>
      <w:pPr>
        <w:pStyle w:val="BodyText"/>
      </w:pPr>
      <w:r>
        <w:t xml:space="preserve">Por tipo de hecho, desplazamiento forzado concentra el 71,9 % de las victimizaciones de la Provincia. La composición del daño importa para la reparación: no se repara igual un desplazamiento que una desaparición o un despojo.</w:t>
      </w:r>
    </w:p>
    <w:p>
      <w:pPr>
        <w:pStyle w:val="BodyText"/>
      </w:pPr>
      <w:r>
        <w:t xml:space="preserve">Las solicitudes de restitución de tierras por cada mil habitantes son más altas en Ituango (15,08) y Briceño (14,70). La restitución es el indicador que enlaza el conflicto con el ordenamiento: donde hubo despojo, la formalización de la propiedad rural sigue pendiente.</w:t>
      </w:r>
    </w:p>
    <w:p>
      <w:pPr>
        <w:pStyle w:val="BodyText"/>
      </w:pPr>
      <w:r>
        <w:t xml:space="preserve">En economías ilegales, la Provincia registra 9.394,31 hectáreas de coca, concentradas en Valdivia (4.726,85) y Anorí (2.089,32). Solo aparecen los municipios donde la fuente detectó cultivo: la ausencia de un municipio significa cero, no falta de dato.</w:t>
      </w:r>
    </w:p>
    <w:p>
      <w:pPr>
        <w:pStyle w:val="BodyText"/>
      </w:pPr>
      <w:r>
        <w:t xml:space="preserve">La explotación de oro de aluvión ocupaba en 2020 unas 2.425,29 hectáreas en la Provincia, de las cuales el 71,6 % corresponde a explotación sin título. A diferencia de la coca, esta actividad deja una huella física duradera sobre el cauce y el suelo, de modo que su efecto sobrevive al fin de la explotación.</w:t>
      </w:r>
    </w:p>
    <w:p>
      <w:pPr>
        <w:pStyle w:val="BodyText"/>
      </w:pPr>
      <w:r>
        <w:t xml:space="preserve">La UARIV reconoce 7 sujetos de reparación colectiva en la Provincia, muy concentrada: Ituango y Yarumal reúnen el 100 % del total. De ellos, 0 ya completaron la implementación de su Plan Integral de Reparación Colectiva (PIRC); el resto sigue en alguna de las fases previas —identificación, caracterización del daño, diagnóstico, diseño y formulación o alistamiento—, que es justamente el estado de avance que pedía verificar la revisión de este documento.</w:t>
      </w:r>
    </w:p>
    <w:p>
      <w:pPr>
        <w:pStyle w:val="BodyText"/>
      </w:pPr>
      <w:r>
        <w:t xml:space="preserve">Al menos Ituango es territorio PDET (PDET Bajo Cauca-Nordeste Antioqueño), según la zona que trae la misma fuente de reparación colectiva; esto solo cubre los municipios con algún sujeto reconocido, así que no descarta que otros municipios de la Provincia también lo sean.</w:t>
      </w:r>
    </w:p>
    <w:p>
      <w:pPr>
        <w:pStyle w:val="BlockText"/>
      </w:pPr>
      <w:r>
        <w:rPr>
          <w:b/>
          <w:bCs/>
        </w:rPr>
        <w:t xml:space="preserve">Verificar con el equipo</w:t>
      </w:r>
      <w:r>
        <w:t xml:space="preserve"> </w:t>
      </w:r>
      <w:r>
        <w:t xml:space="preserve">— el estado de implementación de PNIS en la Provincia, y la cobertura PDET completa de todos sus municipios —lo que hay hoy sobre PDET es un subproducto del insumo de reparación colectiva y solo cubre los municipios con algún sujeto reconocido.</w:t>
      </w:r>
    </w:p>
    <w:bookmarkEnd w:id="248"/>
    <w:bookmarkStart w:id="273" w:name="derechos-humanos"/>
    <w:p>
      <w:pPr>
        <w:pStyle w:val="Heading4"/>
      </w:pPr>
      <w:r>
        <w:t xml:space="preserve">Derechos Humanos</w:t>
      </w:r>
    </w:p>
    <w:p>
      <w:pPr>
        <w:pStyle w:val="FirstParagraph"/>
      </w:pPr>
      <w:r>
        <w:t xml:space="preserve">La Unidad de Búsqueda de Personas dadas por Desaparecidas registra 1.427 casos en la Provincia, muy concentrada: Ituango y Valdivia reúnen el 55 % del total. La desaparición forzada es el hecho victimizante con mayor subregistro histórico, de modo que la cifra debe leerse como una cota inferior.</w:t>
      </w:r>
    </w:p>
    <w:p>
      <w:pPr>
        <w:pStyle w:val="BodyText"/>
      </w:pPr>
      <w:r>
        <w:t xml:space="preserve">La encuesta de percepción de seguridad complementa este panorama con la mirada de la ciudadanía. Sus resultados son representativos a nivel de</w:t>
      </w:r>
      <w:r>
        <w:t xml:space="preserve"> </w:t>
      </w:r>
      <w:r>
        <w:rPr>
          <w:b/>
          <w:bCs/>
        </w:rPr>
        <w:t xml:space="preserve">subregión</w:t>
      </w:r>
      <w:r>
        <w:t xml:space="preserve">, no de provincia ni de municipio, y así se rotulan en las tablas y figuras de esta sección: presentarlos como cifras provinciales atribuiría a este territorio una medición que no lo representa.</w:t>
      </w:r>
    </w:p>
    <w:p>
      <w:pPr>
        <w:pStyle w:val="BlockText"/>
      </w:pPr>
      <w:r>
        <w:rPr>
          <w:b/>
          <w:bCs/>
        </w:rPr>
        <w:t xml:space="preserve">Verificar con el equipo</w:t>
      </w:r>
      <w:r>
        <w:t xml:space="preserve"> </w:t>
      </w:r>
      <w:r>
        <w:t xml:space="preserve">— qué organizaciones sociales y de víctimas operan en la Provincia y qué mecanismos de protección existen para líderes sociales, que es información de campo y no estadística.</w:t>
      </w:r>
    </w:p>
    <w:p>
      <w:pPr>
        <w:pStyle w:val="CaptionedFigure"/>
      </w:pPr>
      <w:r>
        <w:drawing>
          <wp:inline>
            <wp:extent cx="5600700" cy="3851407"/>
            <wp:effectExtent b="0" l="0" r="0" t="0"/>
            <wp:docPr descr="73. Homicidios" title="" id="250" name="Picture"/>
            <a:graphic>
              <a:graphicData uri="http://schemas.openxmlformats.org/drawingml/2006/picture">
                <pic:pic>
                  <pic:nvPicPr>
                    <pic:cNvPr descr="03_Outputs/Bioenergetica_Norte/10_Seguridad/figuras/mapa_10_homicidios.png" id="251" name="Picture"/>
                    <pic:cNvPicPr>
                      <a:picLocks noChangeArrowheads="1" noChangeAspect="1"/>
                    </pic:cNvPicPr>
                  </pic:nvPicPr>
                  <pic:blipFill>
                    <a:blip r:embed="rId24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73. Homicidios</w:t>
      </w:r>
    </w:p>
    <w:p>
      <w:pPr>
        <w:pStyle w:val="CaptionedFigure"/>
      </w:pPr>
      <w:r>
        <w:drawing>
          <wp:inline>
            <wp:extent cx="5600700" cy="3851407"/>
            <wp:effectExtent b="0" l="0" r="0" t="0"/>
            <wp:docPr descr="74. Homicidios departamento" title="" id="253" name="Picture"/>
            <a:graphic>
              <a:graphicData uri="http://schemas.openxmlformats.org/drawingml/2006/picture">
                <pic:pic>
                  <pic:nvPicPr>
                    <pic:cNvPr descr="03_Outputs/Bioenergetica_Norte/10_Seguridad/figuras/mapa_10_homicidios_dpto.png" id="254" name="Picture"/>
                    <pic:cNvPicPr>
                      <a:picLocks noChangeArrowheads="1" noChangeAspect="1"/>
                    </pic:cNvPicPr>
                  </pic:nvPicPr>
                  <pic:blipFill>
                    <a:blip r:embed="rId252"/>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74. Homicidios departamento</w:t>
      </w:r>
    </w:p>
    <w:p>
      <w:pPr>
        <w:pStyle w:val="CaptionedFigure"/>
      </w:pPr>
      <w:r>
        <w:drawing>
          <wp:inline>
            <wp:extent cx="5600700" cy="2798867"/>
            <wp:effectExtent b="0" l="0" r="0" t="0"/>
            <wp:docPr descr="75. Percepción seguridad" title="" id="256" name="Picture"/>
            <a:graphic>
              <a:graphicData uri="http://schemas.openxmlformats.org/drawingml/2006/picture">
                <pic:pic>
                  <pic:nvPicPr>
                    <pic:cNvPr descr="03_Outputs/Bioenergetica_Norte/10_Seguridad/figuras/fig_01_percepcion_seguridad.png" id="257" name="Picture"/>
                    <pic:cNvPicPr>
                      <a:picLocks noChangeArrowheads="1" noChangeAspect="1"/>
                    </pic:cNvPicPr>
                  </pic:nvPicPr>
                  <pic:blipFill>
                    <a:blip r:embed="rId255"/>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75. Percepción seguridad</w:t>
      </w:r>
    </w:p>
    <w:p>
      <w:pPr>
        <w:pStyle w:val="CaptionedFigure"/>
      </w:pPr>
      <w:r>
        <w:drawing>
          <wp:inline>
            <wp:extent cx="5600700" cy="3901811"/>
            <wp:effectExtent b="0" l="0" r="0" t="0"/>
            <wp:docPr descr="76. Restitución tierras" title="" id="259" name="Picture"/>
            <a:graphic>
              <a:graphicData uri="http://schemas.openxmlformats.org/drawingml/2006/picture">
                <pic:pic>
                  <pic:nvPicPr>
                    <pic:cNvPr descr="03_Outputs/Bioenergetica_Norte/10_Seguridad/figuras/fig_02_restitucion_tierras.png" id="260" name="Picture"/>
                    <pic:cNvPicPr>
                      <a:picLocks noChangeArrowheads="1" noChangeAspect="1"/>
                    </pic:cNvPicPr>
                  </pic:nvPicPr>
                  <pic:blipFill>
                    <a:blip r:embed="rId258"/>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76. Restitución tierras</w:t>
      </w:r>
    </w:p>
    <w:p>
      <w:pPr>
        <w:pStyle w:val="CaptionedFigure"/>
      </w:pPr>
      <w:r>
        <w:drawing>
          <wp:inline>
            <wp:extent cx="5600700" cy="3901811"/>
            <wp:effectExtent b="0" l="0" r="0" t="0"/>
            <wp:docPr descr="77. Personas desaparecidas" title="" id="262" name="Picture"/>
            <a:graphic>
              <a:graphicData uri="http://schemas.openxmlformats.org/drawingml/2006/picture">
                <pic:pic>
                  <pic:nvPicPr>
                    <pic:cNvPr descr="03_Outputs/Bioenergetica_Norte/10_Seguridad/figuras/fig_03_personas_desaparecidas.png" id="263" name="Picture"/>
                    <pic:cNvPicPr>
                      <a:picLocks noChangeArrowheads="1" noChangeAspect="1"/>
                    </pic:cNvPicPr>
                  </pic:nvPicPr>
                  <pic:blipFill>
                    <a:blip r:embed="rId261"/>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77. Personas desaparecidas</w:t>
      </w:r>
    </w:p>
    <w:p>
      <w:pPr>
        <w:pStyle w:val="CaptionedFigure"/>
      </w:pPr>
      <w:r>
        <w:drawing>
          <wp:inline>
            <wp:extent cx="5600700" cy="3901811"/>
            <wp:effectExtent b="0" l="0" r="0" t="0"/>
            <wp:docPr descr="78. Víctimas ocurrencia" title="" id="265" name="Picture"/>
            <a:graphic>
              <a:graphicData uri="http://schemas.openxmlformats.org/drawingml/2006/picture">
                <pic:pic>
                  <pic:nvPicPr>
                    <pic:cNvPr descr="03_Outputs/Bioenergetica_Norte/10_Seguridad/figuras/fig_04_victimas_ocurrencia.png" id="266" name="Picture"/>
                    <pic:cNvPicPr>
                      <a:picLocks noChangeArrowheads="1" noChangeAspect="1"/>
                    </pic:cNvPicPr>
                  </pic:nvPicPr>
                  <pic:blipFill>
                    <a:blip r:embed="rId264"/>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78. Víctimas ocurrencia</w:t>
      </w:r>
    </w:p>
    <w:p>
      <w:pPr>
        <w:pStyle w:val="CaptionedFigure"/>
      </w:pPr>
      <w:r>
        <w:drawing>
          <wp:inline>
            <wp:extent cx="5600700" cy="4479967"/>
            <wp:effectExtent b="0" l="0" r="0" t="0"/>
            <wp:docPr descr="79. Hechos victimizantes" title="" id="268" name="Picture"/>
            <a:graphic>
              <a:graphicData uri="http://schemas.openxmlformats.org/drawingml/2006/picture">
                <pic:pic>
                  <pic:nvPicPr>
                    <pic:cNvPr descr="03_Outputs/Bioenergetica_Norte/10_Seguridad/figuras/fig_05_hechos_victimizantes.png" id="269" name="Picture"/>
                    <pic:cNvPicPr>
                      <a:picLocks noChangeArrowheads="1" noChangeAspect="1"/>
                    </pic:cNvPicPr>
                  </pic:nvPicPr>
                  <pic:blipFill>
                    <a:blip r:embed="rId267"/>
                    <a:stretch>
                      <a:fillRect/>
                    </a:stretch>
                  </pic:blipFill>
                  <pic:spPr bwMode="auto">
                    <a:xfrm>
                      <a:off x="0" y="0"/>
                      <a:ext cx="5600700" cy="4479967"/>
                    </a:xfrm>
                    <a:prstGeom prst="rect">
                      <a:avLst/>
                    </a:prstGeom>
                    <a:noFill/>
                    <a:ln w="9525">
                      <a:noFill/>
                      <a:headEnd/>
                      <a:tailEnd/>
                    </a:ln>
                  </pic:spPr>
                </pic:pic>
              </a:graphicData>
            </a:graphic>
          </wp:inline>
        </w:drawing>
      </w:r>
    </w:p>
    <w:p>
      <w:pPr>
        <w:pStyle w:val="ImageCaption"/>
      </w:pPr>
      <w:r>
        <w:t xml:space="preserve">79. Hechos victimizantes</w:t>
      </w:r>
    </w:p>
    <w:p>
      <w:pPr>
        <w:pStyle w:val="CaptionedFigure"/>
      </w:pPr>
      <w:r>
        <w:drawing>
          <wp:inline>
            <wp:extent cx="5600700" cy="1784871"/>
            <wp:effectExtent b="0" l="0" r="0" t="0"/>
            <wp:docPr descr="80. Reparacion colectiva" title="" id="271" name="Picture"/>
            <a:graphic>
              <a:graphicData uri="http://schemas.openxmlformats.org/drawingml/2006/picture">
                <pic:pic>
                  <pic:nvPicPr>
                    <pic:cNvPr descr="03_Outputs/Bioenergetica_Norte/10_Seguridad/figuras/fig_06_reparacion_colectiva.png" id="272" name="Picture"/>
                    <pic:cNvPicPr>
                      <a:picLocks noChangeArrowheads="1" noChangeAspect="1"/>
                    </pic:cNvPicPr>
                  </pic:nvPicPr>
                  <pic:blipFill>
                    <a:blip r:embed="rId270"/>
                    <a:stretch>
                      <a:fillRect/>
                    </a:stretch>
                  </pic:blipFill>
                  <pic:spPr bwMode="auto">
                    <a:xfrm>
                      <a:off x="0" y="0"/>
                      <a:ext cx="5600700" cy="1784871"/>
                    </a:xfrm>
                    <a:prstGeom prst="rect">
                      <a:avLst/>
                    </a:prstGeom>
                    <a:noFill/>
                    <a:ln w="9525">
                      <a:noFill/>
                      <a:headEnd/>
                      <a:tailEnd/>
                    </a:ln>
                  </pic:spPr>
                </pic:pic>
              </a:graphicData>
            </a:graphic>
          </wp:inline>
        </w:drawing>
      </w:r>
    </w:p>
    <w:p>
      <w:pPr>
        <w:pStyle w:val="ImageCaption"/>
      </w:pPr>
      <w:r>
        <w:t xml:space="preserve">80. Reparacion colectiva</w:t>
      </w:r>
    </w:p>
    <w:bookmarkEnd w:id="273"/>
    <w:bookmarkEnd w:id="274"/>
    <w:bookmarkEnd w:id="275"/>
    <w:bookmarkStart w:id="276" w:name="la-provincia-en-el-sistema-provincial"/>
    <w:p>
      <w:pPr>
        <w:pStyle w:val="Heading2"/>
      </w:pPr>
      <w:r>
        <w:t xml:space="preserve">La Provincia en el sistema provincial</w:t>
      </w:r>
    </w:p>
    <w:p>
      <w:pPr>
        <w:pStyle w:val="FirstParagraph"/>
      </w:pPr>
      <w:r>
        <w:t xml:space="preserve">La Provincia Bioenergética del Norte de Antioquia es una de las once Provincias Administrativas y de Planificación de Antioquia. En conjunto, esas once agrupan 90 de los 125 municipios del departamento, el 79,7 % de su población y el 57,2 % de su territorio; los 35 municipios restantes no pertenecen a ningún esquema asociativo.</w:t>
      </w:r>
    </w:p>
    <w:p>
      <w:pPr>
        <w:pStyle w:val="BodyText"/>
      </w:pPr>
      <w:r>
        <w:t xml:space="preserve">Dentro de ese sistema, esta Provincia ocupa el puesto 3 de 11 en población y el 1 de 11 en extensión, con 13 municipios. Tomando su puesto mediano en los 26 indicadores comparables, se sitúa en el lugar 10 de 11 del conjunto.</w:t>
      </w:r>
    </w:p>
    <w:p>
      <w:pPr>
        <w:pStyle w:val="BodyText"/>
      </w:pPr>
      <w:r>
        <w:t xml:space="preserve">Su posición no es uniforme. Donde mejor se sitúa es en IRCA (riesgo de calidad del agua), puesto 2, Mortalidad infantil (x 1.000 n.v.), puesto 2 y Hurtos por 100.000 hab., puesto 2. Donde peor, en Internet fijo por 1.000 hab., puesto 11, IMCA total, puesto 11 y Homicidios por 100.000 hab., puesto 10. Esa asimetría es lo que distingue a esta Provincia de sus pares y lo que el Plan Estratégico debería tener en cuenta al priorizar: hay dimensiones en las que puede aportar experiencia al sistema y otras en las que le conviene aprender de él.</w:t>
      </w:r>
    </w:p>
    <w:p>
      <w:pPr>
        <w:pStyle w:val="BodyText"/>
      </w:pPr>
      <w:r>
        <w:t xml:space="preserve">El documento comparativo del proyecto —«Las once provincias de Antioquia, comparadas»— desarrolla esta lectura para todo el sistema y recoge las figuras que la sostienen.</w:t>
      </w:r>
    </w:p>
    <w:bookmarkEnd w:id="276"/>
    <w:bookmarkStart w:id="277" w:name="nota-sobre-las-fuentes-y-los-cortes"/>
    <w:p>
      <w:pPr>
        <w:pStyle w:val="Heading2"/>
      </w:pPr>
      <w:r>
        <w:t xml:space="preserve">Nota sobre las fuentes y los cortes</w:t>
      </w:r>
    </w:p>
    <w:p>
      <w:pPr>
        <w:pStyle w:val="FirstParagraph"/>
      </w:pPr>
      <w:r>
        <w:t xml:space="preserve">Las cifras de este borrador provienen de las tablas que produce el flujo del proyecto y son trazables hasta su fuente: cada figura deja sus datos exactos en una hoja del</w:t>
      </w:r>
      <w:r>
        <w:t xml:space="preserve"> </w:t>
      </w:r>
      <w:r>
        <w:rPr>
          <w:rStyle w:val="VerbatimChar"/>
        </w:rPr>
        <w:t xml:space="preserve">.xlsx</w:t>
      </w:r>
      <w:r>
        <w:t xml:space="preserve"> </w:t>
      </w:r>
      <w:r>
        <w:t xml:space="preserve">de su sección.</w:t>
      </w:r>
    </w:p>
    <w:p>
      <w:pPr>
        <w:pStyle w:val="BodyText"/>
      </w:pPr>
      <w:r>
        <w:t xml:space="preserve">El anexo metodológico (</w:t>
      </w:r>
      <w:r>
        <w:rPr>
          <w:rStyle w:val="VerbatimChar"/>
        </w:rPr>
        <w:t xml:space="preserve">04_Docs/anexo_metodologico.pdf</w:t>
      </w:r>
      <w:r>
        <w:t xml:space="preserve">) documenta las fuentes, los protocolos de uso, las reglas de limpieza y agregación, y las limitaciones conocidas que este informe debe declarar al publicar sus cifras.</w:t>
      </w:r>
    </w:p>
    <w:bookmarkEnd w:id="277"/>
    <w:sectPr w:rsidR="006E5286">
      <w:pgSz w:h="15840" w:w="12240"/>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AFF" w:usb1="5200A1F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1C08DD"/>
    <w:multiLevelType w:val="hybridMultilevel"/>
    <w:tmpl w:val="54B6332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
    <w:nsid w:val="05AF8CDD"/>
    <w:multiLevelType w:val="hybridMultilevel"/>
    <w:tmpl w:val="85B62540"/>
    <w:lvl w:ilvl="0" w:tplc="8CB2086E">
      <w:start w:val="1"/>
      <w:numFmt w:val="bullet"/>
      <w:lvlText w:val=""/>
      <w:lvlJc w:val="left"/>
      <w:pPr>
        <w:ind w:hanging="360" w:left="720"/>
      </w:pPr>
      <w:rPr>
        <w:rFonts w:ascii="Symbol" w:hAnsi="Symbol" w:hint="default"/>
      </w:rPr>
    </w:lvl>
    <w:lvl w:ilvl="1" w:tplc="BAA49C82">
      <w:start w:val="1"/>
      <w:numFmt w:val="bullet"/>
      <w:lvlText w:val="o"/>
      <w:lvlJc w:val="left"/>
      <w:pPr>
        <w:ind w:hanging="360" w:left="1440"/>
      </w:pPr>
      <w:rPr>
        <w:rFonts w:ascii="Courier New" w:hAnsi="Courier New" w:hint="default"/>
      </w:rPr>
    </w:lvl>
    <w:lvl w:ilvl="2" w:tplc="BD8654CE">
      <w:start w:val="1"/>
      <w:numFmt w:val="bullet"/>
      <w:lvlText w:val=""/>
      <w:lvlJc w:val="left"/>
      <w:pPr>
        <w:ind w:hanging="360" w:left="2160"/>
      </w:pPr>
      <w:rPr>
        <w:rFonts w:ascii="Wingdings" w:hAnsi="Wingdings" w:hint="default"/>
      </w:rPr>
    </w:lvl>
    <w:lvl w:ilvl="3" w:tplc="BF48D584">
      <w:start w:val="1"/>
      <w:numFmt w:val="bullet"/>
      <w:lvlText w:val=""/>
      <w:lvlJc w:val="left"/>
      <w:pPr>
        <w:ind w:hanging="360" w:left="2880"/>
      </w:pPr>
      <w:rPr>
        <w:rFonts w:ascii="Symbol" w:hAnsi="Symbol" w:hint="default"/>
      </w:rPr>
    </w:lvl>
    <w:lvl w:ilvl="4" w:tplc="A0D6BA6C">
      <w:start w:val="1"/>
      <w:numFmt w:val="bullet"/>
      <w:lvlText w:val="o"/>
      <w:lvlJc w:val="left"/>
      <w:pPr>
        <w:ind w:hanging="360" w:left="3600"/>
      </w:pPr>
      <w:rPr>
        <w:rFonts w:ascii="Courier New" w:hAnsi="Courier New" w:hint="default"/>
      </w:rPr>
    </w:lvl>
    <w:lvl w:ilvl="5" w:tplc="73F646EE">
      <w:start w:val="1"/>
      <w:numFmt w:val="bullet"/>
      <w:lvlText w:val=""/>
      <w:lvlJc w:val="left"/>
      <w:pPr>
        <w:ind w:hanging="360" w:left="4320"/>
      </w:pPr>
      <w:rPr>
        <w:rFonts w:ascii="Wingdings" w:hAnsi="Wingdings" w:hint="default"/>
      </w:rPr>
    </w:lvl>
    <w:lvl w:ilvl="6" w:tplc="7C425D12">
      <w:start w:val="1"/>
      <w:numFmt w:val="bullet"/>
      <w:lvlText w:val=""/>
      <w:lvlJc w:val="left"/>
      <w:pPr>
        <w:ind w:hanging="360" w:left="5040"/>
      </w:pPr>
      <w:rPr>
        <w:rFonts w:ascii="Symbol" w:hAnsi="Symbol" w:hint="default"/>
      </w:rPr>
    </w:lvl>
    <w:lvl w:ilvl="7" w:tplc="13C4C8F8">
      <w:start w:val="1"/>
      <w:numFmt w:val="bullet"/>
      <w:lvlText w:val="o"/>
      <w:lvlJc w:val="left"/>
      <w:pPr>
        <w:ind w:hanging="360" w:left="5760"/>
      </w:pPr>
      <w:rPr>
        <w:rFonts w:ascii="Courier New" w:hAnsi="Courier New" w:hint="default"/>
      </w:rPr>
    </w:lvl>
    <w:lvl w:ilvl="8" w:tplc="729AE612">
      <w:start w:val="1"/>
      <w:numFmt w:val="bullet"/>
      <w:lvlText w:val=""/>
      <w:lvlJc w:val="left"/>
      <w:pPr>
        <w:ind w:hanging="360" w:left="6480"/>
      </w:pPr>
      <w:rPr>
        <w:rFonts w:ascii="Wingdings" w:hAnsi="Wingdings" w:hint="default"/>
      </w:rPr>
    </w:lvl>
  </w:abstractNum>
  <w:abstractNum w15:restartNumberingAfterBreak="0" w:abstractNumId="2">
    <w:nsid w:val="0914025E"/>
    <w:multiLevelType w:val="hybridMultilevel"/>
    <w:tmpl w:val="E16229B4"/>
    <w:lvl w:ilvl="0" w:tplc="04090017">
      <w:start w:val="1"/>
      <w:numFmt w:val="low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08578BD"/>
    <w:multiLevelType w:val="hybridMultilevel"/>
    <w:tmpl w:val="6C9E4C3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4">
    <w:nsid w:val="164101E8"/>
    <w:multiLevelType w:val="hybridMultilevel"/>
    <w:tmpl w:val="90EE6DD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5">
    <w:nsid w:val="17AE60C3"/>
    <w:multiLevelType w:val="hybridMultilevel"/>
    <w:tmpl w:val="87D6B0D4"/>
    <w:lvl w:ilvl="0" w:tplc="372A9D3A">
      <w:start w:val="1"/>
      <w:numFmt w:val="bullet"/>
      <w:lvlText w:val="·"/>
      <w:lvlJc w:val="left"/>
      <w:pPr>
        <w:ind w:hanging="360" w:left="720"/>
      </w:pPr>
      <w:rPr>
        <w:rFonts w:ascii="Symbol" w:hAnsi="Symbol" w:hint="default"/>
      </w:rPr>
    </w:lvl>
    <w:lvl w:ilvl="1" w:tplc="35FC767C">
      <w:start w:val="1"/>
      <w:numFmt w:val="bullet"/>
      <w:lvlText w:val="o"/>
      <w:lvlJc w:val="left"/>
      <w:pPr>
        <w:ind w:hanging="360" w:left="1440"/>
      </w:pPr>
      <w:rPr>
        <w:rFonts w:ascii="Courier New" w:hAnsi="Courier New" w:hint="default"/>
      </w:rPr>
    </w:lvl>
    <w:lvl w:ilvl="2" w:tplc="145EBAA6">
      <w:start w:val="1"/>
      <w:numFmt w:val="bullet"/>
      <w:lvlText w:val=""/>
      <w:lvlJc w:val="left"/>
      <w:pPr>
        <w:ind w:hanging="360" w:left="2160"/>
      </w:pPr>
      <w:rPr>
        <w:rFonts w:ascii="Wingdings" w:hAnsi="Wingdings" w:hint="default"/>
      </w:rPr>
    </w:lvl>
    <w:lvl w:ilvl="3" w:tplc="1982F3BC">
      <w:start w:val="1"/>
      <w:numFmt w:val="bullet"/>
      <w:lvlText w:val=""/>
      <w:lvlJc w:val="left"/>
      <w:pPr>
        <w:ind w:hanging="360" w:left="2880"/>
      </w:pPr>
      <w:rPr>
        <w:rFonts w:ascii="Symbol" w:hAnsi="Symbol" w:hint="default"/>
      </w:rPr>
    </w:lvl>
    <w:lvl w:ilvl="4" w:tplc="1B1A2978">
      <w:start w:val="1"/>
      <w:numFmt w:val="bullet"/>
      <w:lvlText w:val="o"/>
      <w:lvlJc w:val="left"/>
      <w:pPr>
        <w:ind w:hanging="360" w:left="3600"/>
      </w:pPr>
      <w:rPr>
        <w:rFonts w:ascii="Courier New" w:hAnsi="Courier New" w:hint="default"/>
      </w:rPr>
    </w:lvl>
    <w:lvl w:ilvl="5" w:tplc="5E8A49F0">
      <w:start w:val="1"/>
      <w:numFmt w:val="bullet"/>
      <w:lvlText w:val=""/>
      <w:lvlJc w:val="left"/>
      <w:pPr>
        <w:ind w:hanging="360" w:left="4320"/>
      </w:pPr>
      <w:rPr>
        <w:rFonts w:ascii="Wingdings" w:hAnsi="Wingdings" w:hint="default"/>
      </w:rPr>
    </w:lvl>
    <w:lvl w:ilvl="6" w:tplc="DC9E4DAE">
      <w:start w:val="1"/>
      <w:numFmt w:val="bullet"/>
      <w:lvlText w:val=""/>
      <w:lvlJc w:val="left"/>
      <w:pPr>
        <w:ind w:hanging="360" w:left="5040"/>
      </w:pPr>
      <w:rPr>
        <w:rFonts w:ascii="Symbol" w:hAnsi="Symbol" w:hint="default"/>
      </w:rPr>
    </w:lvl>
    <w:lvl w:ilvl="7" w:tplc="788649D4">
      <w:start w:val="1"/>
      <w:numFmt w:val="bullet"/>
      <w:lvlText w:val="o"/>
      <w:lvlJc w:val="left"/>
      <w:pPr>
        <w:ind w:hanging="360" w:left="5760"/>
      </w:pPr>
      <w:rPr>
        <w:rFonts w:ascii="Courier New" w:hAnsi="Courier New" w:hint="default"/>
      </w:rPr>
    </w:lvl>
    <w:lvl w:ilvl="8" w:tplc="AF282B78">
      <w:start w:val="1"/>
      <w:numFmt w:val="bullet"/>
      <w:lvlText w:val=""/>
      <w:lvlJc w:val="left"/>
      <w:pPr>
        <w:ind w:hanging="360" w:left="6480"/>
      </w:pPr>
      <w:rPr>
        <w:rFonts w:ascii="Wingdings" w:hAnsi="Wingdings" w:hint="default"/>
      </w:rPr>
    </w:lvl>
  </w:abstractNum>
  <w:abstractNum w15:restartNumberingAfterBreak="0" w:abstractNumId="6">
    <w:nsid w:val="2586331E"/>
    <w:multiLevelType w:val="hybridMultilevel"/>
    <w:tmpl w:val="A4C46CB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7">
    <w:nsid w:val="26C6971F"/>
    <w:multiLevelType w:val="hybridMultilevel"/>
    <w:tmpl w:val="F3D0F61A"/>
    <w:lvl w:ilvl="0" w:tplc="00A03A86">
      <w:start w:val="1"/>
      <w:numFmt w:val="bullet"/>
      <w:lvlText w:val=""/>
      <w:lvlJc w:val="left"/>
      <w:pPr>
        <w:ind w:hanging="360" w:left="720"/>
      </w:pPr>
      <w:rPr>
        <w:rFonts w:ascii="Symbol" w:hAnsi="Symbol" w:hint="default"/>
      </w:rPr>
    </w:lvl>
    <w:lvl w:ilvl="1" w:tplc="7D301EF0">
      <w:start w:val="1"/>
      <w:numFmt w:val="bullet"/>
      <w:lvlText w:val="o"/>
      <w:lvlJc w:val="left"/>
      <w:pPr>
        <w:ind w:hanging="360" w:left="1440"/>
      </w:pPr>
      <w:rPr>
        <w:rFonts w:ascii="Courier New" w:hAnsi="Courier New" w:hint="default"/>
      </w:rPr>
    </w:lvl>
    <w:lvl w:ilvl="2" w:tplc="67D020EE">
      <w:start w:val="1"/>
      <w:numFmt w:val="bullet"/>
      <w:lvlText w:val=""/>
      <w:lvlJc w:val="left"/>
      <w:pPr>
        <w:ind w:hanging="360" w:left="2160"/>
      </w:pPr>
      <w:rPr>
        <w:rFonts w:ascii="Wingdings" w:hAnsi="Wingdings" w:hint="default"/>
      </w:rPr>
    </w:lvl>
    <w:lvl w:ilvl="3" w:tplc="AAAAEB14">
      <w:start w:val="1"/>
      <w:numFmt w:val="bullet"/>
      <w:lvlText w:val=""/>
      <w:lvlJc w:val="left"/>
      <w:pPr>
        <w:ind w:hanging="360" w:left="2880"/>
      </w:pPr>
      <w:rPr>
        <w:rFonts w:ascii="Symbol" w:hAnsi="Symbol" w:hint="default"/>
      </w:rPr>
    </w:lvl>
    <w:lvl w:ilvl="4" w:tplc="10D0598E">
      <w:start w:val="1"/>
      <w:numFmt w:val="bullet"/>
      <w:lvlText w:val="o"/>
      <w:lvlJc w:val="left"/>
      <w:pPr>
        <w:ind w:hanging="360" w:left="3600"/>
      </w:pPr>
      <w:rPr>
        <w:rFonts w:ascii="Courier New" w:hAnsi="Courier New" w:hint="default"/>
      </w:rPr>
    </w:lvl>
    <w:lvl w:ilvl="5" w:tplc="2F983DA4">
      <w:start w:val="1"/>
      <w:numFmt w:val="bullet"/>
      <w:lvlText w:val=""/>
      <w:lvlJc w:val="left"/>
      <w:pPr>
        <w:ind w:hanging="360" w:left="4320"/>
      </w:pPr>
      <w:rPr>
        <w:rFonts w:ascii="Wingdings" w:hAnsi="Wingdings" w:hint="default"/>
      </w:rPr>
    </w:lvl>
    <w:lvl w:ilvl="6" w:tplc="270095CE">
      <w:start w:val="1"/>
      <w:numFmt w:val="bullet"/>
      <w:lvlText w:val=""/>
      <w:lvlJc w:val="left"/>
      <w:pPr>
        <w:ind w:hanging="360" w:left="5040"/>
      </w:pPr>
      <w:rPr>
        <w:rFonts w:ascii="Symbol" w:hAnsi="Symbol" w:hint="default"/>
      </w:rPr>
    </w:lvl>
    <w:lvl w:ilvl="7" w:tplc="74323054">
      <w:start w:val="1"/>
      <w:numFmt w:val="bullet"/>
      <w:lvlText w:val="o"/>
      <w:lvlJc w:val="left"/>
      <w:pPr>
        <w:ind w:hanging="360" w:left="5760"/>
      </w:pPr>
      <w:rPr>
        <w:rFonts w:ascii="Courier New" w:hAnsi="Courier New" w:hint="default"/>
      </w:rPr>
    </w:lvl>
    <w:lvl w:ilvl="8" w:tplc="53A437B2">
      <w:start w:val="1"/>
      <w:numFmt w:val="bullet"/>
      <w:lvlText w:val=""/>
      <w:lvlJc w:val="left"/>
      <w:pPr>
        <w:ind w:hanging="360" w:left="6480"/>
      </w:pPr>
      <w:rPr>
        <w:rFonts w:ascii="Wingdings" w:hAnsi="Wingdings" w:hint="default"/>
      </w:rPr>
    </w:lvl>
  </w:abstractNum>
  <w:abstractNum w15:restartNumberingAfterBreak="0" w:abstractNumId="8">
    <w:nsid w:val="274B42C1"/>
    <w:multiLevelType w:val="hybridMultilevel"/>
    <w:tmpl w:val="13AC1042"/>
    <w:lvl w:ilvl="0" w:tplc="FFE4847C">
      <w:start w:val="1"/>
      <w:numFmt w:val="bullet"/>
      <w:lvlText w:val=""/>
      <w:lvlJc w:val="left"/>
      <w:pPr>
        <w:ind w:hanging="360" w:left="720"/>
      </w:pPr>
      <w:rPr>
        <w:rFonts w:ascii="Symbol" w:hAnsi="Symbol" w:hint="default"/>
      </w:rPr>
    </w:lvl>
    <w:lvl w:ilvl="1" w:tplc="2CD080A2">
      <w:start w:val="1"/>
      <w:numFmt w:val="bullet"/>
      <w:lvlText w:val="o"/>
      <w:lvlJc w:val="left"/>
      <w:pPr>
        <w:ind w:hanging="360" w:left="1440"/>
      </w:pPr>
      <w:rPr>
        <w:rFonts w:ascii="Courier New" w:hAnsi="Courier New" w:hint="default"/>
      </w:rPr>
    </w:lvl>
    <w:lvl w:ilvl="2" w:tplc="5F2455B8">
      <w:start w:val="1"/>
      <w:numFmt w:val="bullet"/>
      <w:lvlText w:val=""/>
      <w:lvlJc w:val="left"/>
      <w:pPr>
        <w:ind w:hanging="360" w:left="2160"/>
      </w:pPr>
      <w:rPr>
        <w:rFonts w:ascii="Wingdings" w:hAnsi="Wingdings" w:hint="default"/>
      </w:rPr>
    </w:lvl>
    <w:lvl w:ilvl="3" w:tplc="FAD2E57A">
      <w:start w:val="1"/>
      <w:numFmt w:val="bullet"/>
      <w:lvlText w:val=""/>
      <w:lvlJc w:val="left"/>
      <w:pPr>
        <w:ind w:hanging="360" w:left="2880"/>
      </w:pPr>
      <w:rPr>
        <w:rFonts w:ascii="Symbol" w:hAnsi="Symbol" w:hint="default"/>
      </w:rPr>
    </w:lvl>
    <w:lvl w:ilvl="4" w:tplc="290AC8A6">
      <w:start w:val="1"/>
      <w:numFmt w:val="bullet"/>
      <w:lvlText w:val="o"/>
      <w:lvlJc w:val="left"/>
      <w:pPr>
        <w:ind w:hanging="360" w:left="3600"/>
      </w:pPr>
      <w:rPr>
        <w:rFonts w:ascii="Courier New" w:hAnsi="Courier New" w:hint="default"/>
      </w:rPr>
    </w:lvl>
    <w:lvl w:ilvl="5" w:tplc="32565CB2">
      <w:start w:val="1"/>
      <w:numFmt w:val="bullet"/>
      <w:lvlText w:val=""/>
      <w:lvlJc w:val="left"/>
      <w:pPr>
        <w:ind w:hanging="360" w:left="4320"/>
      </w:pPr>
      <w:rPr>
        <w:rFonts w:ascii="Wingdings" w:hAnsi="Wingdings" w:hint="default"/>
      </w:rPr>
    </w:lvl>
    <w:lvl w:ilvl="6" w:tplc="7E8EB19C">
      <w:start w:val="1"/>
      <w:numFmt w:val="bullet"/>
      <w:lvlText w:val=""/>
      <w:lvlJc w:val="left"/>
      <w:pPr>
        <w:ind w:hanging="360" w:left="5040"/>
      </w:pPr>
      <w:rPr>
        <w:rFonts w:ascii="Symbol" w:hAnsi="Symbol" w:hint="default"/>
      </w:rPr>
    </w:lvl>
    <w:lvl w:ilvl="7" w:tplc="5EA66A04">
      <w:start w:val="1"/>
      <w:numFmt w:val="bullet"/>
      <w:lvlText w:val="o"/>
      <w:lvlJc w:val="left"/>
      <w:pPr>
        <w:ind w:hanging="360" w:left="5760"/>
      </w:pPr>
      <w:rPr>
        <w:rFonts w:ascii="Courier New" w:hAnsi="Courier New" w:hint="default"/>
      </w:rPr>
    </w:lvl>
    <w:lvl w:ilvl="8" w:tplc="B204DFC0">
      <w:start w:val="1"/>
      <w:numFmt w:val="bullet"/>
      <w:lvlText w:val=""/>
      <w:lvlJc w:val="left"/>
      <w:pPr>
        <w:ind w:hanging="360" w:left="6480"/>
      </w:pPr>
      <w:rPr>
        <w:rFonts w:ascii="Wingdings" w:hAnsi="Wingdings" w:hint="default"/>
      </w:rPr>
    </w:lvl>
  </w:abstractNum>
  <w:abstractNum w15:restartNumberingAfterBreak="0" w:abstractNumId="9">
    <w:nsid w:val="33E62123"/>
    <w:multiLevelType w:val="hybridMultilevel"/>
    <w:tmpl w:val="647AFF10"/>
    <w:lvl w:ilvl="0" w:tplc="B0FE9326">
      <w:start w:val="1"/>
      <w:numFmt w:val="bullet"/>
      <w:lvlText w:val=""/>
      <w:lvlJc w:val="left"/>
      <w:pPr>
        <w:ind w:hanging="360" w:left="720"/>
      </w:pPr>
      <w:rPr>
        <w:rFonts w:ascii="Symbol" w:hAnsi="Symbol" w:hint="default"/>
      </w:rPr>
    </w:lvl>
    <w:lvl w:ilvl="1" w:tplc="8222E992">
      <w:start w:val="1"/>
      <w:numFmt w:val="bullet"/>
      <w:lvlText w:val="o"/>
      <w:lvlJc w:val="left"/>
      <w:pPr>
        <w:ind w:hanging="360" w:left="1440"/>
      </w:pPr>
      <w:rPr>
        <w:rFonts w:ascii="Courier New" w:hAnsi="Courier New" w:hint="default"/>
      </w:rPr>
    </w:lvl>
    <w:lvl w:ilvl="2" w:tplc="3EB2951E">
      <w:start w:val="1"/>
      <w:numFmt w:val="bullet"/>
      <w:lvlText w:val=""/>
      <w:lvlJc w:val="left"/>
      <w:pPr>
        <w:ind w:hanging="360" w:left="2160"/>
      </w:pPr>
      <w:rPr>
        <w:rFonts w:ascii="Wingdings" w:hAnsi="Wingdings" w:hint="default"/>
      </w:rPr>
    </w:lvl>
    <w:lvl w:ilvl="3" w:tplc="19B2008E">
      <w:start w:val="1"/>
      <w:numFmt w:val="bullet"/>
      <w:lvlText w:val=""/>
      <w:lvlJc w:val="left"/>
      <w:pPr>
        <w:ind w:hanging="360" w:left="2880"/>
      </w:pPr>
      <w:rPr>
        <w:rFonts w:ascii="Symbol" w:hAnsi="Symbol" w:hint="default"/>
      </w:rPr>
    </w:lvl>
    <w:lvl w:ilvl="4" w:tplc="BA5831E2">
      <w:start w:val="1"/>
      <w:numFmt w:val="bullet"/>
      <w:lvlText w:val="o"/>
      <w:lvlJc w:val="left"/>
      <w:pPr>
        <w:ind w:hanging="360" w:left="3600"/>
      </w:pPr>
      <w:rPr>
        <w:rFonts w:ascii="Courier New" w:hAnsi="Courier New" w:hint="default"/>
      </w:rPr>
    </w:lvl>
    <w:lvl w:ilvl="5" w:tplc="0C241118">
      <w:start w:val="1"/>
      <w:numFmt w:val="bullet"/>
      <w:lvlText w:val=""/>
      <w:lvlJc w:val="left"/>
      <w:pPr>
        <w:ind w:hanging="360" w:left="4320"/>
      </w:pPr>
      <w:rPr>
        <w:rFonts w:ascii="Wingdings" w:hAnsi="Wingdings" w:hint="default"/>
      </w:rPr>
    </w:lvl>
    <w:lvl w:ilvl="6" w:tplc="28AC9608">
      <w:start w:val="1"/>
      <w:numFmt w:val="bullet"/>
      <w:lvlText w:val=""/>
      <w:lvlJc w:val="left"/>
      <w:pPr>
        <w:ind w:hanging="360" w:left="5040"/>
      </w:pPr>
      <w:rPr>
        <w:rFonts w:ascii="Symbol" w:hAnsi="Symbol" w:hint="default"/>
      </w:rPr>
    </w:lvl>
    <w:lvl w:ilvl="7" w:tplc="195A07AE">
      <w:start w:val="1"/>
      <w:numFmt w:val="bullet"/>
      <w:lvlText w:val="o"/>
      <w:lvlJc w:val="left"/>
      <w:pPr>
        <w:ind w:hanging="360" w:left="5760"/>
      </w:pPr>
      <w:rPr>
        <w:rFonts w:ascii="Courier New" w:hAnsi="Courier New" w:hint="default"/>
      </w:rPr>
    </w:lvl>
    <w:lvl w:ilvl="8" w:tplc="2006F1AA">
      <w:start w:val="1"/>
      <w:numFmt w:val="bullet"/>
      <w:lvlText w:val=""/>
      <w:lvlJc w:val="left"/>
      <w:pPr>
        <w:ind w:hanging="360" w:left="6480"/>
      </w:pPr>
      <w:rPr>
        <w:rFonts w:ascii="Wingdings" w:hAnsi="Wingdings" w:hint="default"/>
      </w:rPr>
    </w:lvl>
  </w:abstractNum>
  <w:abstractNum w15:restartNumberingAfterBreak="0" w:abstractNumId="10">
    <w:nsid w:val="34235F35"/>
    <w:multiLevelType w:val="hybridMultilevel"/>
    <w:tmpl w:val="62E6743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1">
    <w:nsid w:val="37417189"/>
    <w:multiLevelType w:val="hybridMultilevel"/>
    <w:tmpl w:val="BA3883D2"/>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2">
    <w:nsid w:val="378D69FB"/>
    <w:multiLevelType w:val="hybridMultilevel"/>
    <w:tmpl w:val="3676BDE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3A700F35"/>
    <w:multiLevelType w:val="hybridMultilevel"/>
    <w:tmpl w:val="2F9E0B4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4">
    <w:nsid w:val="3C7A4701"/>
    <w:multiLevelType w:val="hybridMultilevel"/>
    <w:tmpl w:val="648E3C2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5">
    <w:nsid w:val="47ED053C"/>
    <w:multiLevelType w:val="hybridMultilevel"/>
    <w:tmpl w:val="E29E51EE"/>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6">
    <w:nsid w:val="48EA0CD0"/>
    <w:multiLevelType w:val="hybridMultilevel"/>
    <w:tmpl w:val="922ABCE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7">
    <w:nsid w:val="4AA1DB6B"/>
    <w:multiLevelType w:val="hybridMultilevel"/>
    <w:tmpl w:val="2C96FE44"/>
    <w:lvl w:ilvl="0" w:tplc="1A126BE2">
      <w:start w:val="1"/>
      <w:numFmt w:val="bullet"/>
      <w:lvlText w:val="·"/>
      <w:lvlJc w:val="left"/>
      <w:pPr>
        <w:ind w:hanging="360" w:left="720"/>
      </w:pPr>
      <w:rPr>
        <w:rFonts w:ascii="Symbol" w:hAnsi="Symbol" w:hint="default"/>
      </w:rPr>
    </w:lvl>
    <w:lvl w:ilvl="1" w:tplc="4FA00A84">
      <w:start w:val="1"/>
      <w:numFmt w:val="bullet"/>
      <w:lvlText w:val="o"/>
      <w:lvlJc w:val="left"/>
      <w:pPr>
        <w:ind w:hanging="360" w:left="1440"/>
      </w:pPr>
      <w:rPr>
        <w:rFonts w:ascii="Courier New" w:hAnsi="Courier New" w:hint="default"/>
      </w:rPr>
    </w:lvl>
    <w:lvl w:ilvl="2" w:tplc="A6245810">
      <w:start w:val="1"/>
      <w:numFmt w:val="bullet"/>
      <w:lvlText w:val=""/>
      <w:lvlJc w:val="left"/>
      <w:pPr>
        <w:ind w:hanging="360" w:left="2160"/>
      </w:pPr>
      <w:rPr>
        <w:rFonts w:ascii="Wingdings" w:hAnsi="Wingdings" w:hint="default"/>
      </w:rPr>
    </w:lvl>
    <w:lvl w:ilvl="3" w:tplc="EF7031DE">
      <w:start w:val="1"/>
      <w:numFmt w:val="bullet"/>
      <w:lvlText w:val=""/>
      <w:lvlJc w:val="left"/>
      <w:pPr>
        <w:ind w:hanging="360" w:left="2880"/>
      </w:pPr>
      <w:rPr>
        <w:rFonts w:ascii="Symbol" w:hAnsi="Symbol" w:hint="default"/>
      </w:rPr>
    </w:lvl>
    <w:lvl w:ilvl="4" w:tplc="8474FC06">
      <w:start w:val="1"/>
      <w:numFmt w:val="bullet"/>
      <w:lvlText w:val="o"/>
      <w:lvlJc w:val="left"/>
      <w:pPr>
        <w:ind w:hanging="360" w:left="3600"/>
      </w:pPr>
      <w:rPr>
        <w:rFonts w:ascii="Courier New" w:hAnsi="Courier New" w:hint="default"/>
      </w:rPr>
    </w:lvl>
    <w:lvl w:ilvl="5" w:tplc="FDC89FCE">
      <w:start w:val="1"/>
      <w:numFmt w:val="bullet"/>
      <w:lvlText w:val=""/>
      <w:lvlJc w:val="left"/>
      <w:pPr>
        <w:ind w:hanging="360" w:left="4320"/>
      </w:pPr>
      <w:rPr>
        <w:rFonts w:ascii="Wingdings" w:hAnsi="Wingdings" w:hint="default"/>
      </w:rPr>
    </w:lvl>
    <w:lvl w:ilvl="6" w:tplc="256ABA88">
      <w:start w:val="1"/>
      <w:numFmt w:val="bullet"/>
      <w:lvlText w:val=""/>
      <w:lvlJc w:val="left"/>
      <w:pPr>
        <w:ind w:hanging="360" w:left="5040"/>
      </w:pPr>
      <w:rPr>
        <w:rFonts w:ascii="Symbol" w:hAnsi="Symbol" w:hint="default"/>
      </w:rPr>
    </w:lvl>
    <w:lvl w:ilvl="7" w:tplc="A1B2B442">
      <w:start w:val="1"/>
      <w:numFmt w:val="bullet"/>
      <w:lvlText w:val="o"/>
      <w:lvlJc w:val="left"/>
      <w:pPr>
        <w:ind w:hanging="360" w:left="5760"/>
      </w:pPr>
      <w:rPr>
        <w:rFonts w:ascii="Courier New" w:hAnsi="Courier New" w:hint="default"/>
      </w:rPr>
    </w:lvl>
    <w:lvl w:ilvl="8" w:tplc="F1283574">
      <w:start w:val="1"/>
      <w:numFmt w:val="bullet"/>
      <w:lvlText w:val=""/>
      <w:lvlJc w:val="left"/>
      <w:pPr>
        <w:ind w:hanging="360" w:left="6480"/>
      </w:pPr>
      <w:rPr>
        <w:rFonts w:ascii="Wingdings" w:hAnsi="Wingdings" w:hint="default"/>
      </w:rPr>
    </w:lvl>
  </w:abstractNum>
  <w:abstractNum w15:restartNumberingAfterBreak="0" w:abstractNumId="18">
    <w:nsid w:val="4EBF4CAA"/>
    <w:multiLevelType w:val="hybridMultilevel"/>
    <w:tmpl w:val="D9CE713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9">
    <w:nsid w:val="573B38BF"/>
    <w:multiLevelType w:val="hybridMultilevel"/>
    <w:tmpl w:val="BCB02F9E"/>
    <w:lvl w:ilvl="0" w:tplc="30A46D30">
      <w:start w:val="1"/>
      <w:numFmt w:val="bullet"/>
      <w:lvlText w:val=""/>
      <w:lvlJc w:val="left"/>
      <w:pPr>
        <w:ind w:hanging="360" w:left="720"/>
      </w:pPr>
      <w:rPr>
        <w:rFonts w:ascii="Symbol" w:hAnsi="Symbol" w:hint="default"/>
      </w:rPr>
    </w:lvl>
    <w:lvl w:ilvl="1" w:tplc="37ECE582">
      <w:start w:val="1"/>
      <w:numFmt w:val="bullet"/>
      <w:lvlText w:val="o"/>
      <w:lvlJc w:val="left"/>
      <w:pPr>
        <w:ind w:hanging="360" w:left="1440"/>
      </w:pPr>
      <w:rPr>
        <w:rFonts w:ascii="Courier New" w:hAnsi="Courier New" w:hint="default"/>
      </w:rPr>
    </w:lvl>
    <w:lvl w:ilvl="2" w:tplc="2BC46F48">
      <w:start w:val="1"/>
      <w:numFmt w:val="bullet"/>
      <w:lvlText w:val=""/>
      <w:lvlJc w:val="left"/>
      <w:pPr>
        <w:ind w:hanging="360" w:left="2160"/>
      </w:pPr>
      <w:rPr>
        <w:rFonts w:ascii="Wingdings" w:hAnsi="Wingdings" w:hint="default"/>
      </w:rPr>
    </w:lvl>
    <w:lvl w:ilvl="3" w:tplc="7DE4F91C">
      <w:start w:val="1"/>
      <w:numFmt w:val="bullet"/>
      <w:lvlText w:val=""/>
      <w:lvlJc w:val="left"/>
      <w:pPr>
        <w:ind w:hanging="360" w:left="2880"/>
      </w:pPr>
      <w:rPr>
        <w:rFonts w:ascii="Symbol" w:hAnsi="Symbol" w:hint="default"/>
      </w:rPr>
    </w:lvl>
    <w:lvl w:ilvl="4" w:tplc="7090DB5C">
      <w:start w:val="1"/>
      <w:numFmt w:val="bullet"/>
      <w:lvlText w:val="o"/>
      <w:lvlJc w:val="left"/>
      <w:pPr>
        <w:ind w:hanging="360" w:left="3600"/>
      </w:pPr>
      <w:rPr>
        <w:rFonts w:ascii="Courier New" w:hAnsi="Courier New" w:hint="default"/>
      </w:rPr>
    </w:lvl>
    <w:lvl w:ilvl="5" w:tplc="E43A45F2">
      <w:start w:val="1"/>
      <w:numFmt w:val="bullet"/>
      <w:lvlText w:val=""/>
      <w:lvlJc w:val="left"/>
      <w:pPr>
        <w:ind w:hanging="360" w:left="4320"/>
      </w:pPr>
      <w:rPr>
        <w:rFonts w:ascii="Wingdings" w:hAnsi="Wingdings" w:hint="default"/>
      </w:rPr>
    </w:lvl>
    <w:lvl w:ilvl="6" w:tplc="D3BC85DC">
      <w:start w:val="1"/>
      <w:numFmt w:val="bullet"/>
      <w:lvlText w:val=""/>
      <w:lvlJc w:val="left"/>
      <w:pPr>
        <w:ind w:hanging="360" w:left="5040"/>
      </w:pPr>
      <w:rPr>
        <w:rFonts w:ascii="Symbol" w:hAnsi="Symbol" w:hint="default"/>
      </w:rPr>
    </w:lvl>
    <w:lvl w:ilvl="7" w:tplc="DECE1AF8">
      <w:start w:val="1"/>
      <w:numFmt w:val="bullet"/>
      <w:lvlText w:val="o"/>
      <w:lvlJc w:val="left"/>
      <w:pPr>
        <w:ind w:hanging="360" w:left="5760"/>
      </w:pPr>
      <w:rPr>
        <w:rFonts w:ascii="Courier New" w:hAnsi="Courier New" w:hint="default"/>
      </w:rPr>
    </w:lvl>
    <w:lvl w:ilvl="8" w:tplc="F88CA44C">
      <w:start w:val="1"/>
      <w:numFmt w:val="bullet"/>
      <w:lvlText w:val=""/>
      <w:lvlJc w:val="left"/>
      <w:pPr>
        <w:ind w:hanging="360" w:left="6480"/>
      </w:pPr>
      <w:rPr>
        <w:rFonts w:ascii="Wingdings" w:hAnsi="Wingdings" w:hint="default"/>
      </w:rPr>
    </w:lvl>
  </w:abstractNum>
  <w:abstractNum w15:restartNumberingAfterBreak="0" w:abstractNumId="20">
    <w:nsid w:val="57F63695"/>
    <w:multiLevelType w:val="hybridMultilevel"/>
    <w:tmpl w:val="5680E3D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1">
    <w:nsid w:val="6984BE8D"/>
    <w:multiLevelType w:val="hybridMultilevel"/>
    <w:tmpl w:val="D1427294"/>
    <w:lvl w:ilvl="0" w:tplc="1102CF0A">
      <w:start w:val="1"/>
      <w:numFmt w:val="bullet"/>
      <w:lvlText w:val=""/>
      <w:lvlJc w:val="left"/>
      <w:pPr>
        <w:ind w:hanging="360" w:left="720"/>
      </w:pPr>
      <w:rPr>
        <w:rFonts w:ascii="Symbol" w:hAnsi="Symbol" w:hint="default"/>
      </w:rPr>
    </w:lvl>
    <w:lvl w:ilvl="1" w:tplc="4EEAD3CC">
      <w:start w:val="1"/>
      <w:numFmt w:val="bullet"/>
      <w:lvlText w:val="o"/>
      <w:lvlJc w:val="left"/>
      <w:pPr>
        <w:ind w:hanging="360" w:left="1440"/>
      </w:pPr>
      <w:rPr>
        <w:rFonts w:ascii="Courier New" w:hAnsi="Courier New" w:hint="default"/>
      </w:rPr>
    </w:lvl>
    <w:lvl w:ilvl="2" w:tplc="DF94E2FA">
      <w:start w:val="1"/>
      <w:numFmt w:val="bullet"/>
      <w:lvlText w:val=""/>
      <w:lvlJc w:val="left"/>
      <w:pPr>
        <w:ind w:hanging="360" w:left="2160"/>
      </w:pPr>
      <w:rPr>
        <w:rFonts w:ascii="Wingdings" w:hAnsi="Wingdings" w:hint="default"/>
      </w:rPr>
    </w:lvl>
    <w:lvl w:ilvl="3" w:tplc="103421C6">
      <w:start w:val="1"/>
      <w:numFmt w:val="bullet"/>
      <w:lvlText w:val=""/>
      <w:lvlJc w:val="left"/>
      <w:pPr>
        <w:ind w:hanging="360" w:left="2880"/>
      </w:pPr>
      <w:rPr>
        <w:rFonts w:ascii="Symbol" w:hAnsi="Symbol" w:hint="default"/>
      </w:rPr>
    </w:lvl>
    <w:lvl w:ilvl="4" w:tplc="157CAD12">
      <w:start w:val="1"/>
      <w:numFmt w:val="bullet"/>
      <w:lvlText w:val="o"/>
      <w:lvlJc w:val="left"/>
      <w:pPr>
        <w:ind w:hanging="360" w:left="3600"/>
      </w:pPr>
      <w:rPr>
        <w:rFonts w:ascii="Courier New" w:hAnsi="Courier New" w:hint="default"/>
      </w:rPr>
    </w:lvl>
    <w:lvl w:ilvl="5" w:tplc="021646FC">
      <w:start w:val="1"/>
      <w:numFmt w:val="bullet"/>
      <w:lvlText w:val=""/>
      <w:lvlJc w:val="left"/>
      <w:pPr>
        <w:ind w:hanging="360" w:left="4320"/>
      </w:pPr>
      <w:rPr>
        <w:rFonts w:ascii="Wingdings" w:hAnsi="Wingdings" w:hint="default"/>
      </w:rPr>
    </w:lvl>
    <w:lvl w:ilvl="6" w:tplc="C81C68E8">
      <w:start w:val="1"/>
      <w:numFmt w:val="bullet"/>
      <w:lvlText w:val=""/>
      <w:lvlJc w:val="left"/>
      <w:pPr>
        <w:ind w:hanging="360" w:left="5040"/>
      </w:pPr>
      <w:rPr>
        <w:rFonts w:ascii="Symbol" w:hAnsi="Symbol" w:hint="default"/>
      </w:rPr>
    </w:lvl>
    <w:lvl w:ilvl="7" w:tplc="1C80DBE2">
      <w:start w:val="1"/>
      <w:numFmt w:val="bullet"/>
      <w:lvlText w:val="o"/>
      <w:lvlJc w:val="left"/>
      <w:pPr>
        <w:ind w:hanging="360" w:left="5760"/>
      </w:pPr>
      <w:rPr>
        <w:rFonts w:ascii="Courier New" w:hAnsi="Courier New" w:hint="default"/>
      </w:rPr>
    </w:lvl>
    <w:lvl w:ilvl="8" w:tplc="FE5CC1E6">
      <w:start w:val="1"/>
      <w:numFmt w:val="bullet"/>
      <w:lvlText w:val=""/>
      <w:lvlJc w:val="left"/>
      <w:pPr>
        <w:ind w:hanging="360" w:left="6480"/>
      </w:pPr>
      <w:rPr>
        <w:rFonts w:ascii="Wingdings" w:hAnsi="Wingdings" w:hint="default"/>
      </w:rPr>
    </w:lvl>
  </w:abstractNum>
  <w:abstractNum w15:restartNumberingAfterBreak="0" w:abstractNumId="22">
    <w:nsid w:val="698B5267"/>
    <w:multiLevelType w:val="hybridMultilevel"/>
    <w:tmpl w:val="D59C38A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A6279EB"/>
    <w:multiLevelType w:val="hybridMultilevel"/>
    <w:tmpl w:val="0832B3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722D6B31"/>
    <w:multiLevelType w:val="hybridMultilevel"/>
    <w:tmpl w:val="05583CF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5">
    <w:nsid w:val="76321E4C"/>
    <w:multiLevelType w:val="hybridMultilevel"/>
    <w:tmpl w:val="0C2C6F3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6">
    <w:nsid w:val="7ED74F24"/>
    <w:multiLevelType w:val="hybridMultilevel"/>
    <w:tmpl w:val="CB2ABA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9"/>
  </w:num>
  <w:num w:numId="3">
    <w:abstractNumId w:val="19"/>
  </w:num>
  <w:num w:numId="4">
    <w:abstractNumId w:val="1"/>
  </w:num>
  <w:num w:numId="5">
    <w:abstractNumId w:val="21"/>
  </w:num>
  <w:num w:numId="6">
    <w:abstractNumId w:val="17"/>
  </w:num>
  <w:num w:numId="7">
    <w:abstractNumId w:val="7"/>
  </w:num>
  <w:num w:numId="8">
    <w:abstractNumId w:val="3"/>
  </w:num>
  <w:num w:numId="9">
    <w:abstractNumId w:val="10"/>
  </w:num>
  <w:num w:numId="10">
    <w:abstractNumId w:val="14"/>
  </w:num>
  <w:num w:numId="11">
    <w:abstractNumId w:val="18"/>
  </w:num>
  <w:num w:numId="12">
    <w:abstractNumId w:val="4"/>
  </w:num>
  <w:num w:numId="13">
    <w:abstractNumId w:val="24"/>
  </w:num>
  <w:num w:numId="14">
    <w:abstractNumId w:val="25"/>
  </w:num>
  <w:num w:numId="15">
    <w:abstractNumId w:val="13"/>
  </w:num>
  <w:num w:numId="16">
    <w:abstractNumId w:val="6"/>
  </w:num>
  <w:num w:numId="17">
    <w:abstractNumId w:val="11"/>
  </w:num>
  <w:num w:numId="18">
    <w:abstractNumId w:val="0"/>
  </w:num>
  <w:num w:numId="19">
    <w:abstractNumId w:val="20"/>
  </w:num>
  <w:num w:numId="20">
    <w:abstractNumId w:val="15"/>
  </w:num>
  <w:num w:numId="21">
    <w:abstractNumId w:val="16"/>
  </w:num>
  <w:num w:numId="22">
    <w:abstractNumId w:val="5"/>
  </w:num>
  <w:num w:numId="23">
    <w:abstractNumId w:val="22"/>
  </w:num>
  <w:num w:numId="24">
    <w:abstractNumId w:val="2"/>
  </w:num>
  <w:num w:numId="25">
    <w:abstractNumId w:val="26"/>
  </w:num>
  <w:num w:numId="26">
    <w:abstractNumId w:val="23"/>
  </w:num>
  <w:num w:numId="27">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D8"/>
    <w:rsid w:val="000C60C3"/>
    <w:rsid w:val="002E635F"/>
    <w:rsid w:val="004863D8"/>
    <w:rsid w:val="00620017"/>
    <w:rsid w:val="006E5286"/>
    <w:rsid w:val="008651C5"/>
    <w:rsid w:val="008F1ECD"/>
    <w:rsid w:val="0092599A"/>
    <w:rsid w:val="00F149A0"/>
    <w:rsid w:val="00F20066"/>
    <w:rsid w:val="00F62FEC"/>
    <w:rsid w:val="00FF5413"/>
    <w:rsid w:val="5206A4D4"/>
  </w:rsids>
  <w:themeFontLang w:eastAsia="zh-CN" w:val="es-CO"/>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es"/>
        <w14:ligatures w14:val="standardContextual"/>
      </w:rPr>
    </w:rPrDefault>
    <w:pPrDefault>
      <w:pPr>
        <w:spacing w:after="120" w:before="120" w:line="276"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863D8"/>
  </w:style>
  <w:style w:styleId="Heading1" w:type="paragraph">
    <w:name w:val="heading 1"/>
    <w:basedOn w:val="Normal"/>
    <w:next w:val="Normal"/>
    <w:link w:val="Heading1Char"/>
    <w:uiPriority w:val="9"/>
    <w:qFormat/>
    <w:rsid w:val="004863D8"/>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4863D8"/>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4863D8"/>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Heading4" w:type="paragraph">
    <w:name w:val="heading 4"/>
    <w:basedOn w:val="Normal"/>
    <w:next w:val="Normal"/>
    <w:link w:val="Heading4Char"/>
    <w:uiPriority w:val="9"/>
    <w:unhideWhenUsed/>
    <w:qFormat/>
    <w:rsid w:val="004863D8"/>
    <w:pPr>
      <w:keepNext/>
      <w:keepLines/>
      <w:spacing w:after="0" w:before="80" w:line="288" w:lineRule="auto"/>
      <w:outlineLvl w:val="3"/>
    </w:pPr>
    <w:rPr>
      <w:rFonts w:asciiTheme="majorHAnsi" w:cstheme="majorBidi" w:eastAsiaTheme="majorEastAsia" w:hAnsiTheme="majorHAnsi"/>
      <w:color w:themeColor="accent6" w:val="70AD47"/>
      <w:kern w:val="0"/>
      <w:lang w:eastAsia="zh-CN"/>
      <w14:ligatures w14:val="none"/>
    </w:rPr>
  </w:style>
  <w:style w:styleId="Heading5" w:type="paragraph">
    <w:name w:val="heading 5"/>
    <w:basedOn w:val="Normal"/>
    <w:next w:val="Normal"/>
    <w:link w:val="Heading5Char"/>
    <w:uiPriority w:val="9"/>
    <w:unhideWhenUsed/>
    <w:qFormat/>
    <w:rsid w:val="004863D8"/>
    <w:pPr>
      <w:keepNext/>
      <w:keepLines/>
      <w:spacing w:after="0" w:before="40" w:line="288" w:lineRule="auto"/>
      <w:outlineLvl w:val="4"/>
    </w:pPr>
    <w:rPr>
      <w:rFonts w:asciiTheme="majorHAnsi" w:cstheme="majorBidi" w:eastAsiaTheme="majorEastAsia" w:hAnsiTheme="majorHAnsi"/>
      <w:i/>
      <w:iCs/>
      <w:color w:themeColor="accent6" w:val="70AD47"/>
      <w:kern w:val="0"/>
      <w:lang w:eastAsia="zh-CN"/>
      <w14:ligatures w14:val="none"/>
    </w:rPr>
  </w:style>
  <w:style w:styleId="Heading6" w:type="paragraph">
    <w:name w:val="heading 6"/>
    <w:basedOn w:val="Normal"/>
    <w:next w:val="Normal"/>
    <w:link w:val="Heading6Char"/>
    <w:uiPriority w:val="9"/>
    <w:semiHidden/>
    <w:unhideWhenUsed/>
    <w:qFormat/>
    <w:rsid w:val="004863D8"/>
    <w:pPr>
      <w:keepNext/>
      <w:keepLines/>
      <w:spacing w:after="0" w:before="40" w:line="288" w:lineRule="auto"/>
      <w:outlineLvl w:val="5"/>
    </w:pPr>
    <w:rPr>
      <w:rFonts w:asciiTheme="majorHAnsi" w:cstheme="majorBidi" w:eastAsiaTheme="majorEastAsia" w:hAnsiTheme="majorHAnsi"/>
      <w:color w:themeColor="accent6" w:val="70AD47"/>
      <w:kern w:val="0"/>
      <w:sz w:val="21"/>
      <w:szCs w:val="21"/>
      <w:lang w:eastAsia="zh-CN"/>
      <w14:ligatures w14:val="none"/>
    </w:rPr>
  </w:style>
  <w:style w:styleId="Heading7" w:type="paragraph">
    <w:name w:val="heading 7"/>
    <w:basedOn w:val="Normal"/>
    <w:next w:val="Normal"/>
    <w:link w:val="Heading7Char"/>
    <w:uiPriority w:val="9"/>
    <w:semiHidden/>
    <w:unhideWhenUsed/>
    <w:qFormat/>
    <w:rsid w:val="004863D8"/>
    <w:pPr>
      <w:keepNext/>
      <w:keepLines/>
      <w:spacing w:after="0" w:before="40" w:line="288" w:lineRule="auto"/>
      <w:outlineLvl w:val="6"/>
    </w:pPr>
    <w:rPr>
      <w:rFonts w:asciiTheme="majorHAnsi" w:cstheme="majorBidi" w:eastAsiaTheme="majorEastAsia" w:hAnsiTheme="majorHAnsi"/>
      <w:b/>
      <w:bCs/>
      <w:color w:themeColor="accent6" w:val="70AD47"/>
      <w:kern w:val="0"/>
      <w:sz w:val="21"/>
      <w:szCs w:val="21"/>
      <w:lang w:eastAsia="zh-CN"/>
      <w14:ligatures w14:val="none"/>
    </w:rPr>
  </w:style>
  <w:style w:styleId="Heading8" w:type="paragraph">
    <w:name w:val="heading 8"/>
    <w:basedOn w:val="Normal"/>
    <w:next w:val="Normal"/>
    <w:link w:val="Heading8Char"/>
    <w:uiPriority w:val="9"/>
    <w:semiHidden/>
    <w:unhideWhenUsed/>
    <w:qFormat/>
    <w:rsid w:val="004863D8"/>
    <w:pPr>
      <w:keepNext/>
      <w:keepLines/>
      <w:spacing w:after="0" w:before="40" w:line="288" w:lineRule="auto"/>
      <w:outlineLvl w:val="7"/>
    </w:pPr>
    <w:rPr>
      <w:rFonts w:asciiTheme="majorHAnsi" w:cstheme="majorBidi" w:eastAsiaTheme="majorEastAsia" w:hAnsiTheme="majorHAnsi"/>
      <w:b/>
      <w:bCs/>
      <w:i/>
      <w:iCs/>
      <w:color w:themeColor="accent6" w:val="70AD47"/>
      <w:kern w:val="0"/>
      <w:sz w:val="20"/>
      <w:szCs w:val="20"/>
      <w:lang w:eastAsia="zh-CN"/>
      <w14:ligatures w14:val="none"/>
    </w:rPr>
  </w:style>
  <w:style w:styleId="Heading9" w:type="paragraph">
    <w:name w:val="heading 9"/>
    <w:basedOn w:val="Normal"/>
    <w:next w:val="Normal"/>
    <w:link w:val="Heading9Char"/>
    <w:uiPriority w:val="9"/>
    <w:semiHidden/>
    <w:unhideWhenUsed/>
    <w:qFormat/>
    <w:rsid w:val="004863D8"/>
    <w:pPr>
      <w:keepNext/>
      <w:keepLines/>
      <w:spacing w:after="0" w:before="40" w:line="288" w:lineRule="auto"/>
      <w:outlineLvl w:val="8"/>
    </w:pPr>
    <w:rPr>
      <w:rFonts w:asciiTheme="majorHAnsi" w:cstheme="majorBidi" w:eastAsiaTheme="majorEastAsia" w:hAnsiTheme="majorHAnsi"/>
      <w:i/>
      <w:iCs/>
      <w:color w:themeColor="accent6" w:val="70AD47"/>
      <w:kern w:val="0"/>
      <w:sz w:val="20"/>
      <w:szCs w:val="20"/>
      <w:lang w:eastAsia="zh-CN"/>
      <w14:ligatures w14: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863D8"/>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4863D8"/>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4863D8"/>
    <w:rPr>
      <w:rFonts w:asciiTheme="majorHAnsi" w:cstheme="majorBidi" w:eastAsiaTheme="majorEastAsia" w:hAnsiTheme="majorHAnsi"/>
      <w:color w:themeColor="accent1" w:themeShade="7F" w:val="1F3763"/>
      <w:sz w:val="24"/>
      <w:szCs w:val="24"/>
    </w:rPr>
  </w:style>
  <w:style w:customStyle="1" w:styleId="Heading4Char" w:type="character">
    <w:name w:val="Heading 4 Char"/>
    <w:link w:val="Heading4"/>
    <w:uiPriority w:val="9"/>
    <w:rsid w:val="004863D8"/>
    <w:rPr>
      <w:rFonts w:asciiTheme="majorHAnsi" w:cstheme="majorBidi" w:eastAsiaTheme="majorEastAsia" w:hAnsiTheme="majorHAnsi"/>
      <w:color w:themeColor="accent6" w:val="70AD47"/>
      <w:kern w:val="0"/>
      <w:lang w:eastAsia="zh-CN"/>
      <w14:ligatures w14:val="none"/>
    </w:rPr>
  </w:style>
  <w:style w:customStyle="1" w:styleId="Heading5Char" w:type="character">
    <w:name w:val="Heading 5 Char"/>
    <w:link w:val="Heading5"/>
    <w:uiPriority w:val="9"/>
    <w:rsid w:val="004863D8"/>
    <w:rPr>
      <w:rFonts w:asciiTheme="majorHAnsi" w:cstheme="majorBidi" w:eastAsiaTheme="majorEastAsia" w:hAnsiTheme="majorHAnsi"/>
      <w:i/>
      <w:iCs/>
      <w:color w:themeColor="accent6" w:val="70AD47"/>
      <w:kern w:val="0"/>
      <w:lang w:eastAsia="zh-CN"/>
      <w14:ligatures w14:val="none"/>
    </w:rPr>
  </w:style>
  <w:style w:customStyle="1" w:styleId="Heading6Char" w:type="character">
    <w:name w:val="Heading 6 Char"/>
    <w:link w:val="Heading6"/>
    <w:uiPriority w:val="9"/>
    <w:semiHidden/>
    <w:rsid w:val="004863D8"/>
    <w:rPr>
      <w:rFonts w:asciiTheme="majorHAnsi" w:cstheme="majorBidi" w:eastAsiaTheme="majorEastAsia" w:hAnsiTheme="majorHAnsi"/>
      <w:color w:themeColor="accent6" w:val="70AD47"/>
      <w:kern w:val="0"/>
      <w:sz w:val="21"/>
      <w:szCs w:val="21"/>
      <w:lang w:eastAsia="zh-CN"/>
      <w14:ligatures w14:val="none"/>
    </w:rPr>
  </w:style>
  <w:style w:customStyle="1" w:styleId="Heading7Char" w:type="character">
    <w:name w:val="Heading 7 Char"/>
    <w:link w:val="Heading7"/>
    <w:uiPriority w:val="9"/>
    <w:semiHidden/>
    <w:rsid w:val="004863D8"/>
    <w:rPr>
      <w:rFonts w:asciiTheme="majorHAnsi" w:cstheme="majorBidi" w:eastAsiaTheme="majorEastAsia" w:hAnsiTheme="majorHAnsi"/>
      <w:b/>
      <w:bCs/>
      <w:color w:themeColor="accent6" w:val="70AD47"/>
      <w:kern w:val="0"/>
      <w:sz w:val="21"/>
      <w:szCs w:val="21"/>
      <w:lang w:eastAsia="zh-CN"/>
      <w14:ligatures w14:val="none"/>
    </w:rPr>
  </w:style>
  <w:style w:customStyle="1" w:styleId="Heading8Char" w:type="character">
    <w:name w:val="Heading 8 Char"/>
    <w:link w:val="Heading8"/>
    <w:uiPriority w:val="9"/>
    <w:semiHidden/>
    <w:rsid w:val="004863D8"/>
    <w:rPr>
      <w:rFonts w:asciiTheme="majorHAnsi" w:cstheme="majorBidi" w:eastAsiaTheme="majorEastAsia" w:hAnsiTheme="majorHAnsi"/>
      <w:b/>
      <w:bCs/>
      <w:i/>
      <w:iCs/>
      <w:color w:themeColor="accent6" w:val="70AD47"/>
      <w:kern w:val="0"/>
      <w:sz w:val="20"/>
      <w:szCs w:val="20"/>
      <w:lang w:eastAsia="zh-CN"/>
      <w14:ligatures w14:val="none"/>
    </w:rPr>
  </w:style>
  <w:style w:customStyle="1" w:styleId="Heading9Char" w:type="character">
    <w:name w:val="Heading 9 Char"/>
    <w:link w:val="Heading9"/>
    <w:uiPriority w:val="9"/>
    <w:semiHidden/>
    <w:rsid w:val="004863D8"/>
    <w:rPr>
      <w:rFonts w:asciiTheme="majorHAnsi" w:cstheme="majorBidi" w:eastAsiaTheme="majorEastAsia" w:hAnsiTheme="majorHAnsi"/>
      <w:i/>
      <w:iCs/>
      <w:color w:themeColor="accent6" w:val="70AD47"/>
      <w:kern w:val="0"/>
      <w:sz w:val="20"/>
      <w:szCs w:val="20"/>
      <w:lang w:eastAsia="zh-CN"/>
      <w14:ligatures w14:val="none"/>
    </w:rPr>
  </w:style>
  <w:style w:customStyle="1" w:styleId="Ttulo4Car" w:type="character">
    <w:name w:val="Título 4 Car"/>
    <w:basedOn w:val="DefaultParagraphFont"/>
    <w:uiPriority w:val="9"/>
    <w:semiHidden/>
    <w:rsid w:val="004863D8"/>
    <w:rPr>
      <w:rFonts w:asciiTheme="majorHAnsi" w:cstheme="majorBidi" w:eastAsiaTheme="majorEastAsia" w:hAnsiTheme="majorHAnsi"/>
      <w:i/>
      <w:iCs/>
      <w:color w:themeColor="accent1" w:themeShade="BF" w:val="2F5496"/>
    </w:rPr>
  </w:style>
  <w:style w:customStyle="1" w:styleId="Ttulo5Car" w:type="character">
    <w:name w:val="Título 5 Car"/>
    <w:basedOn w:val="DefaultParagraphFont"/>
    <w:uiPriority w:val="9"/>
    <w:semiHidden/>
    <w:rsid w:val="004863D8"/>
    <w:rPr>
      <w:rFonts w:asciiTheme="majorHAnsi" w:cstheme="majorBidi" w:eastAsiaTheme="majorEastAsia" w:hAnsiTheme="majorHAnsi"/>
      <w:color w:themeColor="accent1" w:themeShade="BF" w:val="2F5496"/>
    </w:rPr>
  </w:style>
  <w:style w:customStyle="1" w:styleId="Ttulo6Car" w:type="character">
    <w:name w:val="Título 6 Car"/>
    <w:basedOn w:val="DefaultParagraphFont"/>
    <w:uiPriority w:val="9"/>
    <w:semiHidden/>
    <w:rsid w:val="004863D8"/>
    <w:rPr>
      <w:rFonts w:asciiTheme="majorHAnsi" w:cstheme="majorBidi" w:eastAsiaTheme="majorEastAsia" w:hAnsiTheme="majorHAnsi"/>
      <w:color w:themeColor="accent1" w:themeShade="7F" w:val="1F3763"/>
    </w:rPr>
  </w:style>
  <w:style w:customStyle="1" w:styleId="Ttulo7Car" w:type="character">
    <w:name w:val="Título 7 Car"/>
    <w:basedOn w:val="DefaultParagraphFont"/>
    <w:uiPriority w:val="9"/>
    <w:semiHidden/>
    <w:rsid w:val="004863D8"/>
    <w:rPr>
      <w:rFonts w:asciiTheme="majorHAnsi" w:cstheme="majorBidi" w:eastAsiaTheme="majorEastAsia" w:hAnsiTheme="majorHAnsi"/>
      <w:i/>
      <w:iCs/>
      <w:color w:themeColor="accent1" w:themeShade="7F" w:val="1F3763"/>
    </w:rPr>
  </w:style>
  <w:style w:customStyle="1" w:styleId="Ttulo8Car" w:type="character">
    <w:name w:val="Título 8 Car"/>
    <w:basedOn w:val="DefaultParagraphFont"/>
    <w:uiPriority w:val="9"/>
    <w:semiHidden/>
    <w:rsid w:val="004863D8"/>
    <w:rPr>
      <w:rFonts w:asciiTheme="majorHAnsi" w:cstheme="majorBidi" w:eastAsiaTheme="majorEastAsia" w:hAnsiTheme="majorHAnsi"/>
      <w:color w:themeColor="text1" w:themeTint="D8" w:val="272727"/>
      <w:sz w:val="21"/>
      <w:szCs w:val="21"/>
    </w:rPr>
  </w:style>
  <w:style w:customStyle="1" w:styleId="Ttulo9Car" w:type="character">
    <w:name w:val="Título 9 Car"/>
    <w:basedOn w:val="DefaultParagraphFont"/>
    <w:uiPriority w:val="9"/>
    <w:semiHidden/>
    <w:rsid w:val="004863D8"/>
    <w:rPr>
      <w:rFonts w:asciiTheme="majorHAnsi" w:cstheme="majorBidi" w:eastAsiaTheme="majorEastAsia" w:hAnsiTheme="majorHAnsi"/>
      <w:i/>
      <w:iCs/>
      <w:color w:themeColor="text1" w:themeTint="D8" w:val="272727"/>
      <w:sz w:val="21"/>
      <w:szCs w:val="21"/>
    </w:rPr>
  </w:style>
  <w:style w:styleId="ListParagraph" w:type="paragraph">
    <w:name w:val="List Paragraph"/>
    <w:basedOn w:val="Normal"/>
    <w:uiPriority w:val="34"/>
    <w:qFormat/>
    <w:rsid w:val="004863D8"/>
    <w:pPr>
      <w:ind w:left="720"/>
      <w:contextualSpacing/>
    </w:pPr>
  </w:style>
  <w:style w:customStyle="1" w:styleId="normaltextrun" w:type="character">
    <w:name w:val="normaltextrun"/>
    <w:basedOn w:val="DefaultParagraphFont"/>
    <w:rsid w:val="004863D8"/>
  </w:style>
  <w:style w:customStyle="1" w:styleId="apple-converted-space" w:type="character">
    <w:name w:val="apple-converted-space"/>
    <w:basedOn w:val="DefaultParagraphFont"/>
    <w:rsid w:val="004863D8"/>
  </w:style>
  <w:style w:styleId="Strong" w:type="character">
    <w:name w:val="Strong"/>
    <w:basedOn w:val="DefaultParagraphFont"/>
    <w:uiPriority w:val="22"/>
    <w:qFormat/>
    <w:rsid w:val="004863D8"/>
    <w:rPr>
      <w:b/>
      <w:bCs/>
    </w:rPr>
  </w:style>
  <w:style w:styleId="NormalWeb" w:type="paragraph">
    <w:name w:val="Normal (Web)"/>
    <w:basedOn w:val="Normal"/>
    <w:uiPriority w:val="99"/>
    <w:semiHidden/>
    <w:unhideWhenUsed/>
    <w:rsid w:val="004863D8"/>
    <w:pPr>
      <w:spacing w:after="100" w:afterAutospacing="1" w:before="100" w:beforeAutospacing="1" w:line="240" w:lineRule="auto"/>
    </w:pPr>
    <w:rPr>
      <w:rFonts w:ascii="Times New Roman" w:cs="Times New Roman" w:eastAsia="Times New Roman" w:hAnsi="Times New Roman"/>
      <w:kern w:val="0"/>
      <w:sz w:val="24"/>
      <w:szCs w:val="24"/>
      <w:lang w:eastAsia="es-MX"/>
      <w14:ligatures w14:val="none"/>
    </w:rPr>
  </w:style>
  <w:style w:customStyle="1" w:styleId="Default" w:type="paragraph">
    <w:name w:val="Default"/>
    <w:rsid w:val="004863D8"/>
    <w:pPr>
      <w:autoSpaceDE w:val="0"/>
      <w:autoSpaceDN w:val="0"/>
      <w:adjustRightInd w:val="0"/>
      <w:spacing w:after="0" w:line="240" w:lineRule="auto"/>
    </w:pPr>
    <w:rPr>
      <w:rFonts w:ascii="Inter" w:cs="Inter" w:hAnsi="Inter"/>
      <w:color w:val="000000"/>
      <w:kern w:val="0"/>
      <w:sz w:val="24"/>
      <w:szCs w:val="24"/>
    </w:rPr>
  </w:style>
  <w:style w:styleId="TOCHeading" w:type="paragraph">
    <w:name w:val="TOC Heading"/>
    <w:basedOn w:val="Heading1"/>
    <w:next w:val="Normal"/>
    <w:uiPriority w:val="39"/>
    <w:unhideWhenUsed/>
    <w:qFormat/>
    <w:rsid w:val="004863D8"/>
    <w:pPr>
      <w:outlineLvl w:val="9"/>
    </w:pPr>
    <w:rPr>
      <w:kern w:val="0"/>
      <w:lang w:eastAsia="es-CO"/>
      <w14:ligatures w14:val="none"/>
    </w:rPr>
  </w:style>
  <w:style w:styleId="TOC1" w:type="paragraph">
    <w:name w:val="toc 1"/>
    <w:basedOn w:val="Normal"/>
    <w:next w:val="Normal"/>
    <w:autoRedefine/>
    <w:uiPriority w:val="39"/>
    <w:unhideWhenUsed/>
    <w:rsid w:val="004863D8"/>
    <w:pPr>
      <w:spacing w:after="100"/>
    </w:pPr>
  </w:style>
  <w:style w:styleId="TOC2" w:type="paragraph">
    <w:name w:val="toc 2"/>
    <w:basedOn w:val="Normal"/>
    <w:next w:val="Normal"/>
    <w:autoRedefine/>
    <w:uiPriority w:val="39"/>
    <w:unhideWhenUsed/>
    <w:rsid w:val="004863D8"/>
    <w:pPr>
      <w:spacing w:after="100"/>
      <w:ind w:left="220"/>
    </w:pPr>
  </w:style>
  <w:style w:styleId="TOC3" w:type="paragraph">
    <w:name w:val="toc 3"/>
    <w:basedOn w:val="Normal"/>
    <w:next w:val="Normal"/>
    <w:autoRedefine/>
    <w:uiPriority w:val="39"/>
    <w:unhideWhenUsed/>
    <w:rsid w:val="004863D8"/>
    <w:pPr>
      <w:spacing w:after="100"/>
      <w:ind w:left="440"/>
    </w:pPr>
  </w:style>
  <w:style w:styleId="Hyperlink" w:type="character">
    <w:name w:val="Hyperlink"/>
    <w:basedOn w:val="DefaultParagraphFont"/>
    <w:uiPriority w:val="99"/>
    <w:unhideWhenUsed/>
    <w:rsid w:val="004863D8"/>
    <w:rPr>
      <w:color w:themeColor="hyperlink" w:val="0563C1"/>
      <w:u w:val="single"/>
    </w:rPr>
  </w:style>
  <w:style w:styleId="FootnoteText" w:type="paragraph">
    <w:name w:val="footnote text"/>
    <w:basedOn w:val="Normal"/>
    <w:link w:val="FootnoteTextChar"/>
    <w:uiPriority w:val="99"/>
    <w:unhideWhenUsed/>
    <w:rsid w:val="004863D8"/>
    <w:pPr>
      <w:spacing w:after="0" w:line="240" w:lineRule="auto"/>
    </w:pPr>
    <w:rPr>
      <w:sz w:val="20"/>
      <w:szCs w:val="20"/>
    </w:rPr>
  </w:style>
  <w:style w:customStyle="1" w:styleId="FootnoteTextChar" w:type="character">
    <w:name w:val="Footnote Text Char"/>
    <w:basedOn w:val="DefaultParagraphFont"/>
    <w:link w:val="FootnoteText"/>
    <w:uiPriority w:val="99"/>
    <w:rsid w:val="004863D8"/>
    <w:rPr>
      <w:sz w:val="20"/>
      <w:szCs w:val="20"/>
    </w:rPr>
  </w:style>
  <w:style w:styleId="FootnoteReference" w:type="character">
    <w:name w:val="footnote reference"/>
    <w:basedOn w:val="DefaultParagraphFont"/>
    <w:uiPriority w:val="99"/>
    <w:semiHidden/>
    <w:unhideWhenUsed/>
    <w:rsid w:val="004863D8"/>
    <w:rPr>
      <w:vertAlign w:val="superscript"/>
    </w:rPr>
  </w:style>
  <w:style w:styleId="TableGrid" w:type="table">
    <w:name w:val="Table Grid"/>
    <w:basedOn w:val="TableNormal"/>
    <w:uiPriority w:val="59"/>
    <w:rsid w:val="004863D8"/>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1"/>
    <w:uiPriority w:val="99"/>
    <w:unhideWhenUsed/>
    <w:rsid w:val="004863D8"/>
    <w:pPr>
      <w:spacing w:line="240" w:lineRule="auto"/>
    </w:pPr>
    <w:rPr>
      <w:sz w:val="20"/>
      <w:szCs w:val="20"/>
    </w:rPr>
  </w:style>
  <w:style w:customStyle="1" w:styleId="CommentTextChar1" w:type="character">
    <w:name w:val="Comment Text Char1"/>
    <w:basedOn w:val="DefaultParagraphFont"/>
    <w:link w:val="CommentText"/>
    <w:uiPriority w:val="99"/>
    <w:rsid w:val="004863D8"/>
    <w:rPr>
      <w:sz w:val="20"/>
      <w:szCs w:val="20"/>
    </w:rPr>
  </w:style>
  <w:style w:styleId="CommentReference" w:type="character">
    <w:name w:val="annotation reference"/>
    <w:basedOn w:val="DefaultParagraphFont"/>
    <w:uiPriority w:val="99"/>
    <w:semiHidden/>
    <w:unhideWhenUsed/>
    <w:rsid w:val="004863D8"/>
    <w:rPr>
      <w:sz w:val="16"/>
      <w:szCs w:val="16"/>
    </w:rPr>
  </w:style>
  <w:style w:styleId="Header" w:type="paragraph">
    <w:name w:val="header"/>
    <w:basedOn w:val="Normal"/>
    <w:link w:val="HeaderChar"/>
    <w:uiPriority w:val="99"/>
    <w:unhideWhenUsed/>
    <w:rsid w:val="004863D8"/>
    <w:pPr>
      <w:tabs>
        <w:tab w:pos="4680" w:val="center"/>
        <w:tab w:pos="9360" w:val="right"/>
      </w:tabs>
      <w:spacing w:after="0" w:line="240" w:lineRule="auto"/>
    </w:pPr>
  </w:style>
  <w:style w:customStyle="1" w:styleId="HeaderChar" w:type="character">
    <w:name w:val="Header Char"/>
    <w:basedOn w:val="DefaultParagraphFont"/>
    <w:link w:val="Header"/>
    <w:uiPriority w:val="99"/>
    <w:rsid w:val="004863D8"/>
  </w:style>
  <w:style w:styleId="Footer" w:type="paragraph">
    <w:name w:val="footer"/>
    <w:basedOn w:val="Normal"/>
    <w:link w:val="FooterChar"/>
    <w:uiPriority w:val="99"/>
    <w:unhideWhenUsed/>
    <w:rsid w:val="004863D8"/>
    <w:pPr>
      <w:tabs>
        <w:tab w:pos="4680" w:val="center"/>
        <w:tab w:pos="9360" w:val="right"/>
      </w:tabs>
      <w:spacing w:after="0" w:line="240" w:lineRule="auto"/>
    </w:pPr>
  </w:style>
  <w:style w:customStyle="1" w:styleId="FooterChar" w:type="character">
    <w:name w:val="Footer Char"/>
    <w:basedOn w:val="DefaultParagraphFont"/>
    <w:link w:val="Footer"/>
    <w:uiPriority w:val="99"/>
    <w:rsid w:val="004863D8"/>
  </w:style>
  <w:style w:styleId="Caption" w:type="paragraph">
    <w:name w:val="caption"/>
    <w:basedOn w:val="Normal"/>
    <w:next w:val="Normal"/>
    <w:uiPriority w:val="35"/>
    <w:unhideWhenUsed/>
    <w:qFormat/>
    <w:rsid w:val="004863D8"/>
    <w:pPr>
      <w:spacing w:after="200" w:line="240" w:lineRule="auto"/>
    </w:pPr>
    <w:rPr>
      <w:i/>
      <w:iCs/>
      <w:color w:themeColor="text2" w:val="44546A"/>
      <w:sz w:val="18"/>
      <w:szCs w:val="18"/>
    </w:rPr>
  </w:style>
  <w:style w:customStyle="1" w:styleId="Normal0" w:type="paragraph">
    <w:name w:val="Normal0"/>
    <w:aliases w:val="Texto corrido"/>
    <w:qFormat/>
    <w:rsid w:val="004863D8"/>
    <w:pPr>
      <w:overflowPunct w:val="0"/>
      <w:autoSpaceDE w:val="0"/>
      <w:autoSpaceDN w:val="0"/>
      <w:adjustRightInd w:val="0"/>
      <w:spacing w:after="0" w:line="240" w:lineRule="auto"/>
      <w:textAlignment w:val="baseline"/>
    </w:pPr>
    <w:rPr>
      <w:rFonts w:ascii="Arial Narrow" w:cs="Times New Roman" w:eastAsia="Times New Roman" w:hAnsi="Arial Narrow"/>
      <w:color w:themeColor="text1" w:themeTint="BF" w:val="404040"/>
      <w:kern w:val="0"/>
      <w:sz w:val="21"/>
      <w:szCs w:val="20"/>
      <w:lang w:eastAsia="es-MX" w:val="es-ES_tradnl"/>
      <w14:ligatures w14:val="none"/>
    </w:rPr>
  </w:style>
  <w:style w:styleId="Title" w:type="paragraph">
    <w:name w:val="Title"/>
    <w:basedOn w:val="Normal"/>
    <w:next w:val="Normal"/>
    <w:link w:val="TitleChar"/>
    <w:uiPriority w:val="10"/>
    <w:qFormat/>
    <w:rsid w:val="004863D8"/>
    <w:pPr>
      <w:spacing w:after="0" w:line="240" w:lineRule="auto"/>
      <w:contextualSpacing/>
    </w:pPr>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itleChar" w:type="character">
    <w:name w:val="Title Char"/>
    <w:link w:val="Title"/>
    <w:uiPriority w:val="10"/>
    <w:rsid w:val="004863D8"/>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tuloCar" w:type="character">
    <w:name w:val="Título Car"/>
    <w:basedOn w:val="DefaultParagraphFont"/>
    <w:uiPriority w:val="10"/>
    <w:rsid w:val="004863D8"/>
    <w:rPr>
      <w:rFonts w:asciiTheme="majorHAnsi" w:cstheme="majorBidi" w:eastAsiaTheme="majorEastAsia" w:hAnsiTheme="majorHAnsi"/>
      <w:spacing w:val="-10"/>
      <w:kern w:val="28"/>
      <w:sz w:val="56"/>
      <w:szCs w:val="56"/>
    </w:rPr>
  </w:style>
  <w:style w:customStyle="1" w:styleId="Ttulo1" w:type="paragraph">
    <w:name w:val="Título1"/>
    <w:basedOn w:val="Heading1"/>
    <w:link w:val="TtuloChar"/>
    <w:rsid w:val="004863D8"/>
    <w:pPr>
      <w:spacing w:after="40" w:before="360" w:line="240" w:lineRule="auto"/>
    </w:pPr>
    <w:rPr>
      <w:rFonts w:ascii="Arial" w:hAnsi="Arial"/>
      <w:b/>
      <w:color w:val="002060"/>
      <w:kern w:val="0"/>
      <w:sz w:val="40"/>
      <w:szCs w:val="40"/>
      <w:lang w:eastAsia="zh-CN"/>
      <w14:ligatures w14:val="none"/>
    </w:rPr>
  </w:style>
  <w:style w:customStyle="1" w:styleId="TtuloChar" w:type="character">
    <w:name w:val="Título Char"/>
    <w:basedOn w:val="Ttulo1Car1"/>
    <w:link w:val="Ttulo1"/>
    <w:rsid w:val="004863D8"/>
    <w:rPr>
      <w:rFonts w:ascii="Arial" w:cstheme="majorBidi" w:eastAsiaTheme="majorEastAsia" w:hAnsi="Arial"/>
      <w:b/>
      <w:color w:val="002060"/>
      <w:kern w:val="0"/>
      <w:sz w:val="40"/>
      <w:szCs w:val="40"/>
      <w:lang w:eastAsia="zh-CN"/>
      <w14:ligatures w14:val="none"/>
    </w:rPr>
  </w:style>
  <w:style w:customStyle="1" w:styleId="Ttulo1Car1" w:type="character">
    <w:name w:val="Título 1 Car1"/>
    <w:uiPriority w:val="9"/>
    <w:rsid w:val="004863D8"/>
    <w:rPr>
      <w:rFonts w:asciiTheme="majorHAnsi" w:cstheme="majorBidi" w:eastAsiaTheme="majorEastAsia" w:hAnsiTheme="majorHAnsi"/>
      <w:color w:themeColor="accent6" w:themeShade="BF" w:val="538135"/>
      <w:sz w:val="40"/>
      <w:szCs w:val="40"/>
    </w:rPr>
  </w:style>
  <w:style w:customStyle="1" w:styleId="Subttulo1" w:type="paragraph">
    <w:name w:val="Subtítulo1"/>
    <w:basedOn w:val="Heading2"/>
    <w:link w:val="SubttuloChar"/>
    <w:rsid w:val="004863D8"/>
    <w:pPr>
      <w:spacing w:before="80" w:line="240" w:lineRule="auto"/>
    </w:pPr>
    <w:rPr>
      <w:rFonts w:ascii="Arial" w:hAnsi="Arial"/>
      <w:b/>
      <w:bCs/>
      <w:color w:themeColor="accent6" w:themeShade="BF" w:val="538135"/>
      <w:kern w:val="0"/>
      <w:sz w:val="24"/>
      <w:szCs w:val="32"/>
      <w:lang w:eastAsia="zh-CN"/>
      <w14:ligatures w14:val="none"/>
    </w:rPr>
  </w:style>
  <w:style w:customStyle="1" w:styleId="SubttuloChar" w:type="character">
    <w:name w:val="Subtítulo Char"/>
    <w:basedOn w:val="Ttulo2Car1"/>
    <w:link w:val="Subttulo1"/>
    <w:rsid w:val="004863D8"/>
    <w:rPr>
      <w:rFonts w:ascii="Arial" w:cstheme="majorBidi" w:eastAsiaTheme="majorEastAsia" w:hAnsi="Arial"/>
      <w:b/>
      <w:bCs/>
      <w:color w:themeColor="accent6" w:themeShade="BF" w:val="538135"/>
      <w:kern w:val="0"/>
      <w:sz w:val="24"/>
      <w:szCs w:val="32"/>
      <w:lang w:eastAsia="zh-CN"/>
      <w14:ligatures w14:val="none"/>
    </w:rPr>
  </w:style>
  <w:style w:customStyle="1" w:styleId="Ttulo2Car1" w:type="character">
    <w:name w:val="Título 2 Car1"/>
    <w:uiPriority w:val="9"/>
    <w:semiHidden/>
    <w:rsid w:val="004863D8"/>
    <w:rPr>
      <w:rFonts w:asciiTheme="majorHAnsi" w:cstheme="majorBidi" w:eastAsiaTheme="majorEastAsia" w:hAnsiTheme="majorHAnsi"/>
      <w:color w:themeColor="accent6" w:themeShade="BF" w:val="538135"/>
      <w:sz w:val="28"/>
      <w:szCs w:val="28"/>
    </w:rPr>
  </w:style>
  <w:style w:customStyle="1" w:styleId="Ttulodeseccin" w:type="paragraph">
    <w:name w:val="Título de sección"/>
    <w:basedOn w:val="Ttulo1"/>
    <w:link w:val="TtulodeseccinChar"/>
    <w:uiPriority w:val="1"/>
    <w:rsid w:val="004863D8"/>
    <w:pPr>
      <w:spacing w:before="40"/>
      <w:outlineLvl w:val="2"/>
    </w:pPr>
    <w:rPr>
      <w:rFonts w:asciiTheme="majorHAnsi" w:hAnsiTheme="majorHAnsi"/>
      <w:color w:val="auto"/>
      <w:sz w:val="22"/>
      <w:szCs w:val="22"/>
    </w:rPr>
  </w:style>
  <w:style w:customStyle="1" w:styleId="TtulodeseccinChar" w:type="character">
    <w:name w:val="Título de sección Char"/>
    <w:link w:val="Ttulodeseccin"/>
    <w:uiPriority w:val="1"/>
    <w:rsid w:val="004863D8"/>
    <w:rPr>
      <w:rFonts w:asciiTheme="majorHAnsi" w:cstheme="majorBidi" w:eastAsiaTheme="majorEastAsia" w:hAnsiTheme="majorHAnsi"/>
      <w:b/>
      <w:kern w:val="0"/>
      <w:lang w:eastAsia="zh-CN"/>
      <w14:ligatures w14:val="none"/>
    </w:rPr>
  </w:style>
  <w:style w:customStyle="1" w:styleId="CommentTextChar" w:type="character">
    <w:name w:val="Comment Text Char"/>
    <w:uiPriority w:val="99"/>
    <w:rsid w:val="004863D8"/>
    <w:rPr>
      <w:sz w:val="20"/>
      <w:szCs w:val="20"/>
    </w:rPr>
  </w:style>
  <w:style w:customStyle="1" w:styleId="CommentSubjectChar" w:type="character">
    <w:name w:val="Comment Subject Char"/>
    <w:basedOn w:val="CommentTextChar1"/>
    <w:link w:val="CommentSubject"/>
    <w:uiPriority w:val="99"/>
    <w:semiHidden/>
    <w:rsid w:val="004863D8"/>
    <w:rPr>
      <w:rFonts w:eastAsiaTheme="minorEastAsia"/>
      <w:b/>
      <w:bCs/>
      <w:kern w:val="0"/>
      <w:sz w:val="20"/>
      <w:szCs w:val="20"/>
      <w:lang w:eastAsia="zh-CN"/>
      <w14:ligatures w14:val="none"/>
    </w:rPr>
  </w:style>
  <w:style w:styleId="CommentSubject" w:type="paragraph">
    <w:name w:val="annotation subject"/>
    <w:basedOn w:val="CommentText"/>
    <w:next w:val="CommentText"/>
    <w:link w:val="CommentSubjectChar"/>
    <w:uiPriority w:val="99"/>
    <w:semiHidden/>
    <w:unhideWhenUsed/>
    <w:rsid w:val="004863D8"/>
    <w:pPr>
      <w:spacing w:after="200"/>
    </w:pPr>
    <w:rPr>
      <w:rFonts w:eastAsiaTheme="minorEastAsia"/>
      <w:b/>
      <w:bCs/>
      <w:kern w:val="0"/>
      <w:lang w:eastAsia="zh-CN"/>
      <w14:ligatures w14:val="none"/>
    </w:rPr>
  </w:style>
  <w:style w:customStyle="1" w:styleId="AsuntodelcomentarioCar1" w:type="character">
    <w:name w:val="Asunto del comentario Car1"/>
    <w:basedOn w:val="CommentTextChar1"/>
    <w:uiPriority w:val="99"/>
    <w:semiHidden/>
    <w:rsid w:val="004863D8"/>
    <w:rPr>
      <w:b/>
      <w:bCs/>
      <w:sz w:val="20"/>
      <w:szCs w:val="20"/>
    </w:rPr>
  </w:style>
  <w:style w:customStyle="1" w:styleId="paragraph" w:type="paragraph">
    <w:name w:val="paragraph"/>
    <w:basedOn w:val="Normal"/>
    <w:rsid w:val="004863D8"/>
    <w:pPr>
      <w:spacing w:after="200" w:afterAutospacing="1" w:beforeAutospacing="1" w:line="240" w:lineRule="auto"/>
    </w:pPr>
    <w:rPr>
      <w:rFonts w:ascii="Times New Roman" w:cs="Times New Roman" w:eastAsia="Times New Roman" w:hAnsi="Times New Roman"/>
      <w:kern w:val="0"/>
      <w:sz w:val="24"/>
      <w:szCs w:val="24"/>
      <w:lang w:eastAsia="zh-CN"/>
      <w14:ligatures w14:val="none"/>
    </w:rPr>
  </w:style>
  <w:style w:customStyle="1" w:styleId="eop" w:type="character">
    <w:name w:val="eop"/>
    <w:rsid w:val="004863D8"/>
  </w:style>
  <w:style w:customStyle="1" w:styleId="contentcontrolboundarysink" w:type="character">
    <w:name w:val="contentcontrolboundarysink"/>
    <w:uiPriority w:val="1"/>
    <w:rsid w:val="004863D8"/>
  </w:style>
  <w:style w:styleId="BalloonText" w:type="paragraph">
    <w:name w:val="Balloon Text"/>
    <w:basedOn w:val="Normal"/>
    <w:link w:val="BalloonTextChar"/>
    <w:uiPriority w:val="99"/>
    <w:semiHidden/>
    <w:unhideWhenUsed/>
    <w:rsid w:val="004863D8"/>
    <w:pPr>
      <w:spacing w:after="0" w:line="240" w:lineRule="auto"/>
    </w:pPr>
    <w:rPr>
      <w:rFonts w:ascii="Segoe UI" w:cs="Segoe UI" w:eastAsiaTheme="minorEastAsia" w:hAnsi="Segoe UI"/>
      <w:kern w:val="0"/>
      <w:sz w:val="18"/>
      <w:szCs w:val="18"/>
      <w:lang w:eastAsia="zh-CN"/>
      <w14:ligatures w14:val="none"/>
    </w:rPr>
  </w:style>
  <w:style w:customStyle="1" w:styleId="BalloonTextChar" w:type="character">
    <w:name w:val="Balloon Text Char"/>
    <w:link w:val="BalloonText"/>
    <w:uiPriority w:val="99"/>
    <w:semiHidden/>
    <w:rsid w:val="004863D8"/>
    <w:rPr>
      <w:rFonts w:ascii="Segoe UI" w:cs="Segoe UI" w:eastAsiaTheme="minorEastAsia" w:hAnsi="Segoe UI"/>
      <w:kern w:val="0"/>
      <w:sz w:val="18"/>
      <w:szCs w:val="18"/>
      <w:lang w:eastAsia="zh-CN"/>
      <w14:ligatures w14:val="none"/>
    </w:rPr>
  </w:style>
  <w:style w:customStyle="1" w:styleId="TextodegloboCar" w:type="character">
    <w:name w:val="Texto de globo Car"/>
    <w:basedOn w:val="DefaultParagraphFont"/>
    <w:uiPriority w:val="99"/>
    <w:semiHidden/>
    <w:rsid w:val="004863D8"/>
    <w:rPr>
      <w:rFonts w:ascii="Segoe UI" w:cs="Segoe UI" w:hAnsi="Segoe UI"/>
      <w:sz w:val="18"/>
      <w:szCs w:val="18"/>
    </w:rPr>
  </w:style>
  <w:style w:customStyle="1" w:styleId="EncabezadoCar1" w:type="character">
    <w:name w:val="Encabezado Car1"/>
    <w:uiPriority w:val="99"/>
    <w:rsid w:val="004863D8"/>
    <w:rPr>
      <w:lang w:val="es-CO"/>
    </w:rPr>
  </w:style>
  <w:style w:customStyle="1" w:styleId="PiedepginaCar1" w:type="character">
    <w:name w:val="Pie de página Car1"/>
    <w:uiPriority w:val="99"/>
    <w:rsid w:val="004863D8"/>
    <w:rPr>
      <w:lang w:val="es-CO"/>
    </w:rPr>
  </w:style>
  <w:style w:styleId="Subtitle" w:type="paragraph">
    <w:name w:val="Subtitle"/>
    <w:basedOn w:val="Normal"/>
    <w:next w:val="Normal"/>
    <w:link w:val="SubtitleChar"/>
    <w:uiPriority w:val="11"/>
    <w:qFormat/>
    <w:rsid w:val="004863D8"/>
    <w:pPr>
      <w:numPr>
        <w:ilvl w:val="1"/>
      </w:numPr>
      <w:spacing w:after="200" w:line="240" w:lineRule="auto"/>
    </w:pPr>
    <w:rPr>
      <w:rFonts w:asciiTheme="majorHAnsi" w:cstheme="majorBidi" w:eastAsiaTheme="majorEastAsia" w:hAnsiTheme="majorHAnsi"/>
      <w:kern w:val="0"/>
      <w:sz w:val="30"/>
      <w:szCs w:val="30"/>
      <w:lang w:eastAsia="zh-CN"/>
      <w14:ligatures w14:val="none"/>
    </w:rPr>
  </w:style>
  <w:style w:customStyle="1" w:styleId="SubtitleChar" w:type="character">
    <w:name w:val="Subtitle Char"/>
    <w:link w:val="Subtitle"/>
    <w:uiPriority w:val="11"/>
    <w:rsid w:val="004863D8"/>
    <w:rPr>
      <w:rFonts w:asciiTheme="majorHAnsi" w:cstheme="majorBidi" w:eastAsiaTheme="majorEastAsia" w:hAnsiTheme="majorHAnsi"/>
      <w:kern w:val="0"/>
      <w:sz w:val="30"/>
      <w:szCs w:val="30"/>
      <w:lang w:eastAsia="zh-CN"/>
      <w14:ligatures w14:val="none"/>
    </w:rPr>
  </w:style>
  <w:style w:customStyle="1" w:styleId="SubttuloCar" w:type="character">
    <w:name w:val="Subtítulo Car"/>
    <w:basedOn w:val="DefaultParagraphFont"/>
    <w:uiPriority w:val="11"/>
    <w:rsid w:val="004863D8"/>
    <w:rPr>
      <w:rFonts w:eastAsiaTheme="minorEastAsia"/>
      <w:color w:themeColor="text1" w:themeTint="A5" w:val="5A5A5A"/>
      <w:spacing w:val="15"/>
    </w:rPr>
  </w:style>
  <w:style w:styleId="Emphasis" w:type="character">
    <w:name w:val="Emphasis"/>
    <w:uiPriority w:val="20"/>
    <w:qFormat/>
    <w:rsid w:val="004863D8"/>
    <w:rPr>
      <w:i/>
      <w:iCs/>
      <w:color w:themeColor="accent6" w:val="70AD47"/>
    </w:rPr>
  </w:style>
  <w:style w:styleId="NoSpacing" w:type="paragraph">
    <w:name w:val="No Spacing"/>
    <w:uiPriority w:val="1"/>
    <w:qFormat/>
    <w:rsid w:val="004863D8"/>
    <w:pPr>
      <w:spacing w:after="0" w:line="240" w:lineRule="auto"/>
    </w:pPr>
    <w:rPr>
      <w:rFonts w:eastAsiaTheme="minorEastAsia"/>
      <w:kern w:val="0"/>
      <w:sz w:val="21"/>
      <w:szCs w:val="21"/>
      <w:lang w:eastAsia="zh-CN" w:val="en-US"/>
      <w14:ligatures w14:val="none"/>
    </w:rPr>
  </w:style>
  <w:style w:styleId="Quote" w:type="paragraph">
    <w:name w:val="Quote"/>
    <w:basedOn w:val="Normal"/>
    <w:next w:val="Normal"/>
    <w:link w:val="QuoteChar"/>
    <w:uiPriority w:val="29"/>
    <w:qFormat/>
    <w:rsid w:val="004863D8"/>
    <w:pPr>
      <w:spacing w:after="200" w:before="160" w:line="288" w:lineRule="auto"/>
      <w:ind w:left="720" w:right="720"/>
      <w:jc w:val="center"/>
    </w:pPr>
    <w:rPr>
      <w:rFonts w:eastAsiaTheme="minorEastAsia"/>
      <w:i/>
      <w:iCs/>
      <w:color w:themeColor="text1" w:themeTint="D9" w:val="262626"/>
      <w:kern w:val="0"/>
      <w:sz w:val="21"/>
      <w:szCs w:val="21"/>
      <w:lang w:eastAsia="zh-CN"/>
      <w14:ligatures w14:val="none"/>
    </w:rPr>
  </w:style>
  <w:style w:customStyle="1" w:styleId="QuoteChar" w:type="character">
    <w:name w:val="Quote Char"/>
    <w:link w:val="Quote"/>
    <w:uiPriority w:val="29"/>
    <w:rsid w:val="004863D8"/>
    <w:rPr>
      <w:rFonts w:eastAsiaTheme="minorEastAsia"/>
      <w:i/>
      <w:iCs/>
      <w:color w:themeColor="text1" w:themeTint="D9" w:val="262626"/>
      <w:kern w:val="0"/>
      <w:sz w:val="21"/>
      <w:szCs w:val="21"/>
      <w:lang w:eastAsia="zh-CN"/>
      <w14:ligatures w14:val="none"/>
    </w:rPr>
  </w:style>
  <w:style w:customStyle="1" w:styleId="CitaCar" w:type="character">
    <w:name w:val="Cita Car"/>
    <w:basedOn w:val="DefaultParagraphFont"/>
    <w:uiPriority w:val="29"/>
    <w:rsid w:val="004863D8"/>
    <w:rPr>
      <w:i/>
      <w:iCs/>
      <w:color w:themeColor="text1" w:themeTint="BF" w:val="404040"/>
    </w:rPr>
  </w:style>
  <w:style w:styleId="IntenseQuote" w:type="paragraph">
    <w:name w:val="Intense Quote"/>
    <w:basedOn w:val="Normal"/>
    <w:next w:val="Normal"/>
    <w:link w:val="IntenseQuoteChar"/>
    <w:uiPriority w:val="30"/>
    <w:qFormat/>
    <w:rsid w:val="004863D8"/>
    <w:pPr>
      <w:spacing w:before="160" w:line="264" w:lineRule="auto"/>
      <w:ind w:left="720" w:right="720"/>
      <w:jc w:val="center"/>
    </w:pPr>
    <w:rPr>
      <w:rFonts w:asciiTheme="majorHAnsi" w:cstheme="majorBidi" w:eastAsiaTheme="majorEastAsia" w:hAnsiTheme="majorHAnsi"/>
      <w:i/>
      <w:iCs/>
      <w:color w:themeColor="accent6" w:val="70AD47"/>
      <w:kern w:val="0"/>
      <w:sz w:val="32"/>
      <w:szCs w:val="32"/>
      <w:lang w:eastAsia="zh-CN"/>
      <w14:ligatures w14:val="none"/>
    </w:rPr>
  </w:style>
  <w:style w:customStyle="1" w:styleId="IntenseQuoteChar" w:type="character">
    <w:name w:val="Intense Quote Char"/>
    <w:link w:val="IntenseQuote"/>
    <w:uiPriority w:val="30"/>
    <w:rsid w:val="004863D8"/>
    <w:rPr>
      <w:rFonts w:asciiTheme="majorHAnsi" w:cstheme="majorBidi" w:eastAsiaTheme="majorEastAsia" w:hAnsiTheme="majorHAnsi"/>
      <w:i/>
      <w:iCs/>
      <w:color w:themeColor="accent6" w:val="70AD47"/>
      <w:kern w:val="0"/>
      <w:sz w:val="32"/>
      <w:szCs w:val="32"/>
      <w:lang w:eastAsia="zh-CN"/>
      <w14:ligatures w14:val="none"/>
    </w:rPr>
  </w:style>
  <w:style w:customStyle="1" w:styleId="CitadestacadaCar" w:type="character">
    <w:name w:val="Cita destacada Car"/>
    <w:basedOn w:val="DefaultParagraphFont"/>
    <w:uiPriority w:val="30"/>
    <w:rsid w:val="004863D8"/>
    <w:rPr>
      <w:i/>
      <w:iCs/>
      <w:color w:themeColor="accent1" w:val="4472C4"/>
    </w:rPr>
  </w:style>
  <w:style w:styleId="SubtleEmphasis" w:type="character">
    <w:name w:val="Subtle Emphasis"/>
    <w:uiPriority w:val="19"/>
    <w:qFormat/>
    <w:rsid w:val="004863D8"/>
    <w:rPr>
      <w:i/>
      <w:iCs/>
    </w:rPr>
  </w:style>
  <w:style w:styleId="IntenseEmphasis" w:type="character">
    <w:name w:val="Intense Emphasis"/>
    <w:uiPriority w:val="21"/>
    <w:qFormat/>
    <w:rsid w:val="004863D8"/>
    <w:rPr>
      <w:b/>
      <w:bCs/>
      <w:i/>
      <w:iCs/>
    </w:rPr>
  </w:style>
  <w:style w:styleId="SubtleReference" w:type="character">
    <w:name w:val="Subtle Reference"/>
    <w:uiPriority w:val="31"/>
    <w:qFormat/>
    <w:rsid w:val="004863D8"/>
    <w:rPr>
      <w:smallCaps/>
      <w:color w:themeColor="text1" w:themeTint="A6" w:val="595959"/>
    </w:rPr>
  </w:style>
  <w:style w:styleId="IntenseReference" w:type="character">
    <w:name w:val="Intense Reference"/>
    <w:uiPriority w:val="32"/>
    <w:qFormat/>
    <w:rsid w:val="004863D8"/>
    <w:rPr>
      <w:b/>
      <w:bCs/>
      <w:smallCaps/>
      <w:color w:themeColor="accent6" w:val="70AD47"/>
    </w:rPr>
  </w:style>
  <w:style w:styleId="BookTitle" w:type="character">
    <w:name w:val="Book Title"/>
    <w:uiPriority w:val="33"/>
    <w:qFormat/>
    <w:rsid w:val="004863D8"/>
    <w:rPr>
      <w:b/>
      <w:bCs/>
      <w:smallCaps/>
      <w:sz w:val="21"/>
      <w:szCs w:val="21"/>
    </w:rPr>
  </w:style>
  <w:style w:customStyle="1" w:styleId="Mention1" w:type="character">
    <w:name w:val="Mention1"/>
    <w:uiPriority w:val="99"/>
    <w:unhideWhenUsed/>
    <w:rsid w:val="004863D8"/>
    <w:rPr>
      <w:color w:val="2B579A"/>
    </w:rPr>
  </w:style>
  <w:style w:styleId="BodyText" w:type="paragraph">
    <w:name w:val="Body Text"/>
    <w:basedOn w:val="Normal"/>
    <w:link w:val="BodyTextChar"/>
    <w:qFormat/>
    <w:rsid w:val="004863D8"/>
    <w:pPr>
      <w:spacing w:after="180" w:before="180" w:line="240" w:lineRule="auto"/>
    </w:pPr>
    <w:rPr>
      <w:kern w:val="0"/>
      <w:sz w:val="24"/>
      <w:szCs w:val="24"/>
      <w:lang w:val="en-US"/>
      <w14:ligatures w14:val="none"/>
    </w:rPr>
  </w:style>
  <w:style w:customStyle="1" w:styleId="BodyTextChar" w:type="character">
    <w:name w:val="Body Text Char"/>
    <w:link w:val="BodyText"/>
    <w:rsid w:val="004863D8"/>
    <w:rPr>
      <w:kern w:val="0"/>
      <w:sz w:val="24"/>
      <w:szCs w:val="24"/>
      <w:lang w:val="en-US"/>
      <w14:ligatures w14:val="none"/>
    </w:rPr>
  </w:style>
  <w:style w:customStyle="1" w:styleId="TextoindependienteCar" w:type="character">
    <w:name w:val="Texto independiente Car"/>
    <w:basedOn w:val="DefaultParagraphFont"/>
    <w:uiPriority w:val="1"/>
    <w:rsid w:val="004863D8"/>
  </w:style>
  <w:style w:customStyle="1" w:styleId="FirstParagraph" w:type="paragraph">
    <w:name w:val="First Paragraph"/>
    <w:basedOn w:val="BodyText"/>
    <w:next w:val="BodyText"/>
    <w:qFormat/>
    <w:rsid w:val="004863D8"/>
  </w:style>
  <w:style w:styleId="Bibliography" w:type="paragraph">
    <w:name w:val="Bibliography"/>
    <w:basedOn w:val="Normal"/>
    <w:next w:val="Normal"/>
    <w:uiPriority w:val="37"/>
    <w:unhideWhenUsed/>
    <w:rsid w:val="004863D8"/>
    <w:pPr>
      <w:spacing w:after="200" w:line="288" w:lineRule="auto"/>
    </w:pPr>
    <w:rPr>
      <w:rFonts w:eastAsiaTheme="minorEastAsia"/>
      <w:kern w:val="0"/>
      <w:sz w:val="21"/>
      <w:szCs w:val="21"/>
      <w:lang w:eastAsia="zh-CN"/>
      <w14:ligatures w14:val="none"/>
    </w:rPr>
  </w:style>
  <w:style w:customStyle="1" w:styleId="EndnoteTextChar" w:type="character">
    <w:name w:val="Endnote Text Char"/>
    <w:basedOn w:val="DefaultParagraphFont"/>
    <w:link w:val="EndnoteText"/>
    <w:uiPriority w:val="99"/>
    <w:semiHidden/>
    <w:rsid w:val="004863D8"/>
    <w:rPr>
      <w:rFonts w:eastAsiaTheme="minorEastAsia"/>
      <w:kern w:val="0"/>
      <w:sz w:val="20"/>
      <w:szCs w:val="20"/>
      <w:lang w:eastAsia="zh-CN"/>
      <w14:ligatures w14:val="none"/>
    </w:rPr>
  </w:style>
  <w:style w:styleId="EndnoteText" w:type="paragraph">
    <w:name w:val="endnote text"/>
    <w:basedOn w:val="Normal"/>
    <w:link w:val="EndnoteTextChar"/>
    <w:uiPriority w:val="99"/>
    <w:semiHidden/>
    <w:unhideWhenUsed/>
    <w:rsid w:val="004863D8"/>
    <w:pPr>
      <w:spacing w:after="0" w:line="240" w:lineRule="auto"/>
    </w:pPr>
    <w:rPr>
      <w:rFonts w:eastAsiaTheme="minorEastAsia"/>
      <w:kern w:val="0"/>
      <w:sz w:val="20"/>
      <w:szCs w:val="20"/>
      <w:lang w:eastAsia="zh-CN"/>
      <w14:ligatures w14:val="none"/>
    </w:rPr>
  </w:style>
  <w:style w:customStyle="1" w:styleId="TextonotaalfinalCar1" w:type="character">
    <w:name w:val="Texto nota al final Car1"/>
    <w:basedOn w:val="DefaultParagraphFont"/>
    <w:uiPriority w:val="99"/>
    <w:semiHidden/>
    <w:rsid w:val="004863D8"/>
    <w:rPr>
      <w:sz w:val="20"/>
      <w:szCs w:val="20"/>
    </w:rPr>
  </w:style>
  <w:style w:customStyle="1" w:styleId="p1" w:type="paragraph">
    <w:name w:val="p1"/>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s2" w:type="character">
    <w:name w:val="s2"/>
    <w:basedOn w:val="DefaultParagraphFont"/>
    <w:rsid w:val="004863D8"/>
  </w:style>
  <w:style w:customStyle="1" w:styleId="s1" w:type="character">
    <w:name w:val="s1"/>
    <w:basedOn w:val="DefaultParagraphFont"/>
    <w:rsid w:val="004863D8"/>
  </w:style>
  <w:style w:customStyle="1" w:styleId="p2" w:type="paragraph">
    <w:name w:val="p2"/>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lang w:val="en-US"/>
      <w14:ligatures w14:val="none"/>
    </w:rPr>
  </w:style>
  <w:style w:customStyle="1" w:styleId="p3" w:type="paragraph">
    <w:name w:val="p3"/>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p4" w:type="paragraph">
    <w:name w:val="p4"/>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styleId="GridTable4-Accent1" w:type="table">
    <w:name w:val="Grid Table 4 Accent 1"/>
    <w:basedOn w:val="TableNormal"/>
    <w:uiPriority w:val="49"/>
    <w:rsid w:val="004863D8"/>
    <w:pPr>
      <w:spacing w:after="0" w:line="240" w:lineRule="auto"/>
    </w:pPr>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customStyle="1" w:styleId="Compact" w:type="paragraph">
    <w:name w:val="Compact"/>
    <w:basedOn w:val="BodyText"/>
    <w:qFormat/>
    <w:pPr>
      <w:spacing w:after="36" w:before="36"/>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iipo.dnp.gov.co/inicio" TargetMode="External"/><Relationship Id="rId3" Type="http://schemas.openxmlformats.org/officeDocument/2006/relationships/hyperlink" Target="https://www.antioquia.gov.co/articulos/linea-estrategica-transformacion-digital-de-antioquia" TargetMode="External"/><Relationship Id="rId7" Type="http://schemas.openxmlformats.org/officeDocument/2006/relationships/hyperlink" Target="https://unidadbusqueda.gov.co/" TargetMode="External"/><Relationship Id="rId2" Type="http://schemas.openxmlformats.org/officeDocument/2006/relationships/hyperlink" Target="https://colombiatic.mintic.gov.co/679/w3-propertyvalue-36342.html" TargetMode="External"/><Relationship Id="rId1" Type="http://schemas.openxmlformats.org/officeDocument/2006/relationships/hyperlink" Target="https://mapainversiones.dnp.gov.co/Home/Resultados?CENTRO_NEGOCIO=4" TargetMode="External"/><Relationship Id="rId6" Type="http://schemas.openxmlformats.org/officeDocument/2006/relationships/hyperlink" Target="https://www.datos.gov.co/Agricultura-y-Desarrollo-Rural/Estad-sticas-Solicitudes-Restituci-n-Discriminadas/s87b-tjcc/about_data" TargetMode="External"/><Relationship Id="rId5" Type="http://schemas.openxmlformats.org/officeDocument/2006/relationships/hyperlink" Target="https://datospaz.unidadvictimas.gov.co/" TargetMode="External"/><Relationship Id="rId4" Type="http://schemas.openxmlformats.org/officeDocument/2006/relationships/hyperlink" Target="https://www.datos.gov.co/Inclusi-n-Social-y-Reconciliaci-n/Cifras-de-V-ctimas-Municipal/ykxr-xynr/about_data" TargetMode="External"/><Relationship Id="rId9" Type="http://schemas.openxmlformats.org/officeDocument/2006/relationships/hyperlink" Target="https://datos.unidadbusqueda.gov.co/universo-personas-dadas-desaparecidas/"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41" Target="media/rId41.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13" Target="media/rId11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183" Target="media/rId183.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09" Target="media/rId209.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22" Target="media/rId22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49" Target="media/rId249.png" /><Relationship Type="http://schemas.openxmlformats.org/officeDocument/2006/relationships/image" Id="rId252" Target="media/rId2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29934</Words>
  <Characters>170626</Characters>
  <Application>Microsoft Office Word</Application>
  <DocSecurity>0</DocSecurity>
  <Lines>1421</Lines>
  <Paragraphs>400</Paragraphs>
  <ScaleCrop>false</ScaleCrop>
  <Company/>
  <LinksUpToDate>false</LinksUpToDate>
  <CharactersWithSpaces>200160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Integral Territorial — Provincia Bioenergética del Norte de Antioquia</dc:title>
  <dc:creator>Proyecto Provincias · Planes Estratégicos Provinciales de Antioquia</dc:creator>
  <dc:language>es</dc:language>
  <cp:keywords/>
  <dcterms:created xsi:type="dcterms:W3CDTF">2026-08-21T22:44:11Z</dcterms:created>
  <dcterms:modified xsi:type="dcterms:W3CDTF">2026-08-21T22:44:11Z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de agosto de 2026</vt:lpwstr>
  </property>
  <property fmtid="{D5CDD505-2E9C-101B-9397-08002B2CF9AE}" pid="3" name="subtitle">
    <vt:lpwstr>Contexto departamental y provincial extendido</vt:lpwstr>
  </property>
</Properties>
</file>