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6.png" ContentType="image/png"/>
  <Override PartName="/word/media/rId16.png" ContentType="image/png"/>
  <Override PartName="/word/media/rId19.png" ContentType="image/png"/>
  <Override PartName="/word/media/rId23.png" ContentType="image/png"/>
  <Override PartName="/word/media/rId29.png" ContentType="image/png"/>
  <Override PartName="/word/media/rId40.png" ContentType="image/png"/>
  <Override PartName="/word/media/rId33.png" ContentType="image/png"/>
  <Override PartName="/word/media/rId36.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Las once provincias de Antioquia, comparadas</w:t>
      </w:r>
    </w:p>
    <w:p>
      <w:pPr>
        <w:pStyle w:val="Subtitle"/>
      </w:pPr>
      <w:r>
        <w:t xml:space="preserve">Análisis comparativo del sistema provincial</w:t>
      </w:r>
    </w:p>
    <w:p>
      <w:pPr>
        <w:pStyle w:val="Author"/>
      </w:pPr>
      <w:r>
        <w:t xml:space="preserve">Proyecto Provincias · Planes Estratégicos Provinciales de Antioquia</w:t>
      </w:r>
    </w:p>
    <w:p>
      <w:pPr>
        <w:pStyle w:val="Date"/>
      </w:pPr>
      <w:r>
        <w:t xml:space="preserve">21 de agosto de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Cómo leer este documento.</w:t>
      </w:r>
      <w:r>
        <w:t xml:space="preserve"> </w:t>
      </w:r>
      <w:r>
        <w:t xml:space="preserve">Compara las once Provincias Administrativas</w:t>
      </w:r>
      <w:r>
        <w:t xml:space="preserve"> </w:t>
      </w:r>
      <w:r>
        <w:t xml:space="preserve">y de Planificación entre sí y frente al departamento. Todas las cifras</w:t>
      </w:r>
      <w:r>
        <w:t xml:space="preserve"> </w:t>
      </w:r>
      <w:r>
        <w:t xml:space="preserve">salen de las mismas tablas que publican los informes provinciales: si una</w:t>
      </w:r>
      <w:r>
        <w:t xml:space="preserve"> </w:t>
      </w:r>
      <w:r>
        <w:t xml:space="preserve">provincia dice un número en su informe, aquí dice exactamente el mismo.</w:t>
      </w:r>
      <w:r>
        <w:t xml:space="preserve"> </w:t>
      </w:r>
      <w:r>
        <w:t xml:space="preserve">Las notas</w:t>
      </w:r>
      <w:r>
        <w:t xml:space="preserve"> </w:t>
      </w:r>
      <w:r>
        <w:rPr>
          <w:b/>
          <w:bCs/>
        </w:rPr>
        <w:t xml:space="preserve">Verificar con el equipo</w:t>
      </w:r>
      <w:r>
        <w:t xml:space="preserve"> </w:t>
      </w:r>
      <w:r>
        <w:t xml:space="preserve">marcan lo que el dato no sostiene</w:t>
      </w:r>
      <w:r>
        <w:t xml:space="preserve"> </w:t>
      </w:r>
      <w:r>
        <w:t xml:space="preserve">por sí solo.</w:t>
      </w:r>
    </w:p>
    <w:bookmarkStart w:id="15" w:name="X6cfe660ad77c5121576049fe58863f8e44f3f4d"/>
    <w:p>
      <w:pPr>
        <w:pStyle w:val="Heading2"/>
      </w:pPr>
      <w:r>
        <w:t xml:space="preserve">El sistema provincial dentro de Antioquia</w:t>
      </w:r>
    </w:p>
    <w:p>
      <w:pPr>
        <w:pStyle w:val="FirstParagraph"/>
      </w:pPr>
      <w:r>
        <w:t xml:space="preserve">Las once Provincias Administrativas y de Planificación agrupan 90 de los 125 municipios de Antioquia. Ese 72,0 % de los municipios reúne el 79,7 % de la población departamental y el 57,2 % de su territorio. La diferencia entre las tres cifras ya dice algo sobre el diseño del esquema: cubre más población que territorio, porque los municipios que quedan fuera son en promedio más extensos y menos poblados.</w:t>
      </w:r>
      <w:r>
        <w:t xml:space="preserve"> </w:t>
      </w:r>
      <w:r>
        <w:t xml:space="preserve">Los 35 municipios que no pertenecen a ninguna provincia ocupan 26.861 km² y albergan 1.406.216 habitantes. No son un residuo: son casi la mitad del territorio del departamento. Cualquier lectura de los Planes Estratégicos Provinciales como instrumento de ordenamiento departamental tiene que decir qué ocurre con ese resto.</w:t>
      </w:r>
    </w:p>
    <w:p>
      <w:pPr>
        <w:pStyle w:val="CaptionedFigure"/>
      </w:pPr>
      <w:r>
        <w:drawing>
          <wp:inline>
            <wp:extent cx="5600700" cy="2449009"/>
            <wp:effectExtent b="0" l="0" r="0" t="0"/>
            <wp:docPr descr="1. Cobertura del sistema provincial sobre el departamento" title="" id="10" name="Picture"/>
            <a:graphic>
              <a:graphicData uri="http://schemas.openxmlformats.org/drawingml/2006/picture">
                <pic:pic>
                  <pic:nvPicPr>
                    <pic:cNvPr descr="03_Outputs/_Comparativo/figuras/fig_c01_cobertura_sistema.png" id="11" name="Picture"/>
                    <pic:cNvPicPr>
                      <a:picLocks noChangeArrowheads="1" noChangeAspect="1"/>
                    </pic:cNvPicPr>
                  </pic:nvPicPr>
                  <pic:blipFill>
                    <a:blip r:embed="rId9"/>
                    <a:stretch>
                      <a:fillRect/>
                    </a:stretch>
                  </pic:blipFill>
                  <pic:spPr bwMode="auto">
                    <a:xfrm>
                      <a:off x="0" y="0"/>
                      <a:ext cx="5600700" cy="2449009"/>
                    </a:xfrm>
                    <a:prstGeom prst="rect">
                      <a:avLst/>
                    </a:prstGeom>
                    <a:noFill/>
                    <a:ln w="9525">
                      <a:noFill/>
                      <a:headEnd/>
                      <a:tailEnd/>
                    </a:ln>
                  </pic:spPr>
                </pic:pic>
              </a:graphicData>
            </a:graphic>
          </wp:inline>
        </w:drawing>
      </w:r>
    </w:p>
    <w:p>
      <w:pPr>
        <w:pStyle w:val="ImageCaption"/>
      </w:pPr>
      <w:r>
        <w:t xml:space="preserve">1. Cobertura del sistema provincial sobre el departamento</w:t>
      </w:r>
    </w:p>
    <w:p>
      <w:pPr>
        <w:pStyle w:val="CaptionedFigure"/>
      </w:pPr>
      <w:r>
        <w:drawing>
          <wp:inline>
            <wp:extent cx="5600700" cy="4201266"/>
            <wp:effectExtent b="0" l="0" r="0" t="0"/>
            <wp:docPr descr="2. Las once provincias y su densidad poblacional" title="" id="13" name="Picture"/>
            <a:graphic>
              <a:graphicData uri="http://schemas.openxmlformats.org/drawingml/2006/picture">
                <pic:pic>
                  <pic:nvPicPr>
                    <pic:cNvPr descr="03_Outputs/_Comparativo/figuras/fig_c02_mapa_densidad.png" id="14" name="Picture"/>
                    <pic:cNvPicPr>
                      <a:picLocks noChangeArrowheads="1" noChangeAspect="1"/>
                    </pic:cNvPicPr>
                  </pic:nvPicPr>
                  <pic:blipFill>
                    <a:blip r:embed="rId12"/>
                    <a:stretch>
                      <a:fillRect/>
                    </a:stretch>
                  </pic:blipFill>
                  <pic:spPr bwMode="auto">
                    <a:xfrm>
                      <a:off x="0" y="0"/>
                      <a:ext cx="5600700" cy="4201266"/>
                    </a:xfrm>
                    <a:prstGeom prst="rect">
                      <a:avLst/>
                    </a:prstGeom>
                    <a:noFill/>
                    <a:ln w="9525">
                      <a:noFill/>
                      <a:headEnd/>
                      <a:tailEnd/>
                    </a:ln>
                  </pic:spPr>
                </pic:pic>
              </a:graphicData>
            </a:graphic>
          </wp:inline>
        </w:drawing>
      </w:r>
    </w:p>
    <w:p>
      <w:pPr>
        <w:pStyle w:val="ImageCaption"/>
      </w:pPr>
      <w:r>
        <w:t xml:space="preserve">2. Las once provincias y su densidad poblacional</w:t>
      </w:r>
    </w:p>
    <w:bookmarkEnd w:id="15"/>
    <w:bookmarkStart w:id="22" w:name="tamaño-y-forma-de-las-provincias"/>
    <w:p>
      <w:pPr>
        <w:pStyle w:val="Heading2"/>
      </w:pPr>
      <w:r>
        <w:t xml:space="preserve">Tamaño y forma de las provincias</w:t>
      </w:r>
    </w:p>
    <w:p>
      <w:pPr>
        <w:pStyle w:val="FirstParagraph"/>
      </w:pPr>
      <w:r>
        <w:t xml:space="preserve">El sistema es profundamente asimétrico. Área Metropolitana concentra por sí sola 4.194.012 habitantes, mientras que Agroindustrial del Occidente (81.100) y Turística y Agroecológica (95.213) no llegan a esa escala. La razón entre la provincia más poblada y la menos poblada es de 52 a 1; en extensión, la razón es de 6,5 a 1, con Bioenergética del Norte de Antioquia (7.550 km²) y Minero Agroecológica (6.304 km²) a la cabeza.</w:t>
      </w:r>
      <w:r>
        <w:t xml:space="preserve"> </w:t>
      </w:r>
      <w:r>
        <w:t xml:space="preserve">Esa asimetría no es un defecto de diseño sino el reflejo de que el Área Metropolitana entra al esquema con la lógica de una conurbación y las otras diez con la de un territorio rural. De hecho, 6 de las once provincias tienen más de la mitad de su población en centros poblados y rural disperso; las más rurales son Agroindustrial del Occidente (61,3 %) y Penderisco y Sinifana (57,8 %). Comparar la primera con las otras diez en cualquier indicador per cápita exige tener presente esta diferencia de naturaleza.</w:t>
      </w:r>
    </w:p>
    <w:p>
      <w:pPr>
        <w:pStyle w:val="CaptionedFigure"/>
      </w:pPr>
      <w:r>
        <w:drawing>
          <wp:inline>
            <wp:extent cx="5600700" cy="3519338"/>
            <wp:effectExtent b="0" l="0" r="0" t="0"/>
            <wp:docPr descr="3. Población por provincia" title="" id="17" name="Picture"/>
            <a:graphic>
              <a:graphicData uri="http://schemas.openxmlformats.org/drawingml/2006/picture">
                <pic:pic>
                  <pic:nvPicPr>
                    <pic:cNvPr descr="03_Outputs/_Comparativo/figuras/fig_c04_poblacion.png" id="18" name="Picture"/>
                    <pic:cNvPicPr>
                      <a:picLocks noChangeArrowheads="1" noChangeAspect="1"/>
                    </pic:cNvPicPr>
                  </pic:nvPicPr>
                  <pic:blipFill>
                    <a:blip r:embed="rId16"/>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3. Población por provincia</w:t>
      </w:r>
    </w:p>
    <w:p>
      <w:pPr>
        <w:pStyle w:val="CaptionedFigure"/>
      </w:pPr>
      <w:r>
        <w:drawing>
          <wp:inline>
            <wp:extent cx="5600700" cy="3519338"/>
            <wp:effectExtent b="0" l="0" r="0" t="0"/>
            <wp:docPr descr="4. Ruralidad por provincia" title="" id="20" name="Picture"/>
            <a:graphic>
              <a:graphicData uri="http://schemas.openxmlformats.org/drawingml/2006/picture">
                <pic:pic>
                  <pic:nvPicPr>
                    <pic:cNvPr descr="03_Outputs/_Comparativo/figuras/fig_c05_ruralidad.png" id="21" name="Picture"/>
                    <pic:cNvPicPr>
                      <a:picLocks noChangeArrowheads="1" noChangeAspect="1"/>
                    </pic:cNvPicPr>
                  </pic:nvPicPr>
                  <pic:blipFill>
                    <a:blip r:embed="rId19"/>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4. Ruralidad por provincia</w:t>
      </w:r>
    </w:p>
    <w:p>
      <w:pPr>
        <w:pStyle w:val="BodyText"/>
      </w:pPr>
      <w:r>
        <w:rPr>
          <w:b/>
          <w:bCs/>
        </w:rPr>
        <w:t xml:space="preserve">Tabla 1.</w:t>
      </w:r>
      <w:r>
        <w:t xml:space="preserve"> </w:t>
      </w:r>
      <w:r>
        <w:t xml:space="preserve">Tamaño y forma de las once provincias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Provincia</w:t>
            </w:r>
          </w:p>
        </w:tc>
        <w:tc>
          <w:tcPr/>
          <w:p>
            <w:pPr>
              <w:pStyle w:val="Compact"/>
            </w:pPr>
            <w:r>
              <w:t xml:space="preserve">Municipios</w:t>
            </w:r>
          </w:p>
        </w:tc>
        <w:tc>
          <w:tcPr/>
          <w:p>
            <w:pPr>
              <w:pStyle w:val="Compact"/>
            </w:pPr>
            <w:r>
              <w:t xml:space="preserve">Población 2025</w:t>
            </w:r>
          </w:p>
        </w:tc>
        <w:tc>
          <w:tcPr/>
          <w:p>
            <w:pPr>
              <w:pStyle w:val="Compact"/>
            </w:pPr>
            <w:r>
              <w:t xml:space="preserve">Extensión (km²)</w:t>
            </w:r>
          </w:p>
        </w:tc>
        <w:tc>
          <w:tcPr/>
          <w:p>
            <w:pPr>
              <w:pStyle w:val="Compact"/>
            </w:pPr>
            <w:r>
              <w:t xml:space="preserve">Densidad (hab/km²)</w:t>
            </w:r>
          </w:p>
        </w:tc>
        <w:tc>
          <w:tcPr/>
          <w:p>
            <w:pPr>
              <w:pStyle w:val="Compact"/>
            </w:pPr>
            <w:r>
              <w:t xml:space="preserve">Población rural</w:t>
            </w:r>
          </w:p>
        </w:tc>
      </w:tr>
      <w:tr>
        <w:tc>
          <w:tcPr/>
          <w:p>
            <w:pPr>
              <w:pStyle w:val="Compact"/>
            </w:pPr>
            <w:r>
              <w:t xml:space="preserve">Agroindustrial del Occidente</w:t>
            </w:r>
          </w:p>
        </w:tc>
        <w:tc>
          <w:tcPr/>
          <w:p>
            <w:pPr>
              <w:pStyle w:val="Compact"/>
            </w:pPr>
            <w:r>
              <w:t xml:space="preserve">6</w:t>
            </w:r>
          </w:p>
        </w:tc>
        <w:tc>
          <w:tcPr/>
          <w:p>
            <w:pPr>
              <w:pStyle w:val="Compact"/>
            </w:pPr>
            <w:r>
              <w:t xml:space="preserve">81.100</w:t>
            </w:r>
          </w:p>
        </w:tc>
        <w:tc>
          <w:tcPr/>
          <w:p>
            <w:pPr>
              <w:pStyle w:val="Compact"/>
            </w:pPr>
            <w:r>
              <w:t xml:space="preserve">4.703,2</w:t>
            </w:r>
          </w:p>
        </w:tc>
        <w:tc>
          <w:tcPr/>
          <w:p>
            <w:pPr>
              <w:pStyle w:val="Compact"/>
            </w:pPr>
            <w:r>
              <w:t xml:space="preserve">17,2</w:t>
            </w:r>
          </w:p>
        </w:tc>
        <w:tc>
          <w:tcPr/>
          <w:p>
            <w:pPr>
              <w:pStyle w:val="Compact"/>
            </w:pPr>
            <w:r>
              <w:t xml:space="preserve">61,3 %</w:t>
            </w:r>
          </w:p>
        </w:tc>
      </w:tr>
      <w:tr>
        <w:tc>
          <w:tcPr/>
          <w:p>
            <w:pPr>
              <w:pStyle w:val="Compact"/>
            </w:pPr>
            <w:r>
              <w:t xml:space="preserve">Bioenergética del Norte de Antioquia</w:t>
            </w:r>
          </w:p>
        </w:tc>
        <w:tc>
          <w:tcPr/>
          <w:p>
            <w:pPr>
              <w:pStyle w:val="Compact"/>
            </w:pPr>
            <w:r>
              <w:t xml:space="preserve">13</w:t>
            </w:r>
          </w:p>
        </w:tc>
        <w:tc>
          <w:tcPr/>
          <w:p>
            <w:pPr>
              <w:pStyle w:val="Compact"/>
            </w:pPr>
            <w:r>
              <w:t xml:space="preserve">175.488</w:t>
            </w:r>
          </w:p>
        </w:tc>
        <w:tc>
          <w:tcPr/>
          <w:p>
            <w:pPr>
              <w:pStyle w:val="Compact"/>
            </w:pPr>
            <w:r>
              <w:t xml:space="preserve">7.549,6</w:t>
            </w:r>
          </w:p>
        </w:tc>
        <w:tc>
          <w:tcPr/>
          <w:p>
            <w:pPr>
              <w:pStyle w:val="Compact"/>
            </w:pPr>
            <w:r>
              <w:t xml:space="preserve">23,2</w:t>
            </w:r>
          </w:p>
        </w:tc>
        <w:tc>
          <w:tcPr/>
          <w:p>
            <w:pPr>
              <w:pStyle w:val="Compact"/>
            </w:pPr>
            <w:r>
              <w:t xml:space="preserve">54,5 %</w:t>
            </w:r>
          </w:p>
        </w:tc>
      </w:tr>
      <w:tr>
        <w:tc>
          <w:tcPr/>
          <w:p>
            <w:pPr>
              <w:pStyle w:val="Compact"/>
            </w:pPr>
            <w:r>
              <w:t xml:space="preserve">Del Río Grande</w:t>
            </w:r>
          </w:p>
        </w:tc>
        <w:tc>
          <w:tcPr/>
          <w:p>
            <w:pPr>
              <w:pStyle w:val="Compact"/>
            </w:pPr>
            <w:r>
              <w:t xml:space="preserve">5</w:t>
            </w:r>
          </w:p>
        </w:tc>
        <w:tc>
          <w:tcPr/>
          <w:p>
            <w:pPr>
              <w:pStyle w:val="Compact"/>
            </w:pPr>
            <w:r>
              <w:t xml:space="preserve">101.228</w:t>
            </w:r>
          </w:p>
        </w:tc>
        <w:tc>
          <w:tcPr/>
          <w:p>
            <w:pPr>
              <w:pStyle w:val="Compact"/>
            </w:pPr>
            <w:r>
              <w:t xml:space="preserve">1.799,4</w:t>
            </w:r>
          </w:p>
        </w:tc>
        <w:tc>
          <w:tcPr/>
          <w:p>
            <w:pPr>
              <w:pStyle w:val="Compact"/>
            </w:pPr>
            <w:r>
              <w:t xml:space="preserve">56,3</w:t>
            </w:r>
          </w:p>
        </w:tc>
        <w:tc>
          <w:tcPr/>
          <w:p>
            <w:pPr>
              <w:pStyle w:val="Compact"/>
            </w:pPr>
            <w:r>
              <w:t xml:space="preserve">43,6 %</w:t>
            </w:r>
          </w:p>
        </w:tc>
      </w:tr>
      <w:tr>
        <w:tc>
          <w:tcPr/>
          <w:p>
            <w:pPr>
              <w:pStyle w:val="Compact"/>
            </w:pPr>
            <w:r>
              <w:t xml:space="preserve">Turística y Agroecológica</w:t>
            </w:r>
          </w:p>
        </w:tc>
        <w:tc>
          <w:tcPr/>
          <w:p>
            <w:pPr>
              <w:pStyle w:val="Compact"/>
            </w:pPr>
            <w:r>
              <w:t xml:space="preserve">8</w:t>
            </w:r>
          </w:p>
        </w:tc>
        <w:tc>
          <w:tcPr/>
          <w:p>
            <w:pPr>
              <w:pStyle w:val="Compact"/>
            </w:pPr>
            <w:r>
              <w:t xml:space="preserve">95.213</w:t>
            </w:r>
          </w:p>
        </w:tc>
        <w:tc>
          <w:tcPr/>
          <w:p>
            <w:pPr>
              <w:pStyle w:val="Compact"/>
            </w:pPr>
            <w:r>
              <w:t xml:space="preserve">1.841,0</w:t>
            </w:r>
          </w:p>
        </w:tc>
        <w:tc>
          <w:tcPr/>
          <w:p>
            <w:pPr>
              <w:pStyle w:val="Compact"/>
            </w:pPr>
            <w:r>
              <w:t xml:space="preserve">51,7</w:t>
            </w:r>
          </w:p>
        </w:tc>
        <w:tc>
          <w:tcPr/>
          <w:p>
            <w:pPr>
              <w:pStyle w:val="Compact"/>
            </w:pPr>
            <w:r>
              <w:t xml:space="preserve">56,8 %</w:t>
            </w:r>
          </w:p>
        </w:tc>
      </w:tr>
      <w:tr>
        <w:tc>
          <w:tcPr/>
          <w:p>
            <w:pPr>
              <w:pStyle w:val="Compact"/>
            </w:pPr>
            <w:r>
              <w:t xml:space="preserve">Agua, Bosques y Turismo</w:t>
            </w:r>
          </w:p>
        </w:tc>
        <w:tc>
          <w:tcPr/>
          <w:p>
            <w:pPr>
              <w:pStyle w:val="Compact"/>
            </w:pPr>
            <w:r>
              <w:t xml:space="preserve">12</w:t>
            </w:r>
          </w:p>
        </w:tc>
        <w:tc>
          <w:tcPr/>
          <w:p>
            <w:pPr>
              <w:pStyle w:val="Compact"/>
            </w:pPr>
            <w:r>
              <w:t xml:space="preserve">224.539</w:t>
            </w:r>
          </w:p>
        </w:tc>
        <w:tc>
          <w:tcPr/>
          <w:p>
            <w:pPr>
              <w:pStyle w:val="Compact"/>
            </w:pPr>
            <w:r>
              <w:t xml:space="preserve">3.173,7</w:t>
            </w:r>
          </w:p>
        </w:tc>
        <w:tc>
          <w:tcPr/>
          <w:p>
            <w:pPr>
              <w:pStyle w:val="Compact"/>
            </w:pPr>
            <w:r>
              <w:t xml:space="preserve">70,8</w:t>
            </w:r>
          </w:p>
        </w:tc>
        <w:tc>
          <w:tcPr/>
          <w:p>
            <w:pPr>
              <w:pStyle w:val="Compact"/>
            </w:pPr>
            <w:r>
              <w:t xml:space="preserve">44,0 %</w:t>
            </w:r>
          </w:p>
        </w:tc>
      </w:tr>
      <w:tr>
        <w:tc>
          <w:tcPr/>
          <w:p>
            <w:pPr>
              <w:pStyle w:val="Compact"/>
            </w:pPr>
            <w:r>
              <w:t xml:space="preserve">Cartama</w:t>
            </w:r>
          </w:p>
        </w:tc>
        <w:tc>
          <w:tcPr/>
          <w:p>
            <w:pPr>
              <w:pStyle w:val="Compact"/>
            </w:pPr>
            <w:r>
              <w:t xml:space="preserve">11</w:t>
            </w:r>
          </w:p>
        </w:tc>
        <w:tc>
          <w:tcPr/>
          <w:p>
            <w:pPr>
              <w:pStyle w:val="Compact"/>
            </w:pPr>
            <w:r>
              <w:t xml:space="preserve">141.347</w:t>
            </w:r>
          </w:p>
        </w:tc>
        <w:tc>
          <w:tcPr/>
          <w:p>
            <w:pPr>
              <w:pStyle w:val="Compact"/>
            </w:pPr>
            <w:r>
              <w:t xml:space="preserve">1.595,6</w:t>
            </w:r>
          </w:p>
        </w:tc>
        <w:tc>
          <w:tcPr/>
          <w:p>
            <w:pPr>
              <w:pStyle w:val="Compact"/>
            </w:pPr>
            <w:r>
              <w:t xml:space="preserve">88,6</w:t>
            </w:r>
          </w:p>
        </w:tc>
        <w:tc>
          <w:tcPr/>
          <w:p>
            <w:pPr>
              <w:pStyle w:val="Compact"/>
            </w:pPr>
            <w:r>
              <w:t xml:space="preserve">50,8 %</w:t>
            </w:r>
          </w:p>
        </w:tc>
      </w:tr>
      <w:tr>
        <w:tc>
          <w:tcPr/>
          <w:p>
            <w:pPr>
              <w:pStyle w:val="Compact"/>
            </w:pPr>
            <w:r>
              <w:t xml:space="preserve">De la Paz</w:t>
            </w:r>
          </w:p>
        </w:tc>
        <w:tc>
          <w:tcPr/>
          <w:p>
            <w:pPr>
              <w:pStyle w:val="Compact"/>
            </w:pPr>
            <w:r>
              <w:t xml:space="preserve">5</w:t>
            </w:r>
          </w:p>
        </w:tc>
        <w:tc>
          <w:tcPr/>
          <w:p>
            <w:pPr>
              <w:pStyle w:val="Compact"/>
            </w:pPr>
            <w:r>
              <w:t xml:space="preserve">100.399</w:t>
            </w:r>
          </w:p>
        </w:tc>
        <w:tc>
          <w:tcPr/>
          <w:p>
            <w:pPr>
              <w:pStyle w:val="Compact"/>
            </w:pPr>
            <w:r>
              <w:t xml:space="preserve">2.583,4</w:t>
            </w:r>
          </w:p>
        </w:tc>
        <w:tc>
          <w:tcPr/>
          <w:p>
            <w:pPr>
              <w:pStyle w:val="Compact"/>
            </w:pPr>
            <w:r>
              <w:t xml:space="preserve">38,9</w:t>
            </w:r>
          </w:p>
        </w:tc>
        <w:tc>
          <w:tcPr/>
          <w:p>
            <w:pPr>
              <w:pStyle w:val="Compact"/>
            </w:pPr>
            <w:r>
              <w:t xml:space="preserve">51,7 %</w:t>
            </w:r>
          </w:p>
        </w:tc>
      </w:tr>
      <w:tr>
        <w:tc>
          <w:tcPr/>
          <w:p>
            <w:pPr>
              <w:pStyle w:val="Compact"/>
            </w:pPr>
            <w:r>
              <w:t xml:space="preserve">San Juan</w:t>
            </w:r>
          </w:p>
        </w:tc>
        <w:tc>
          <w:tcPr/>
          <w:p>
            <w:pPr>
              <w:pStyle w:val="Compact"/>
            </w:pPr>
            <w:r>
              <w:t xml:space="preserve">6</w:t>
            </w:r>
          </w:p>
        </w:tc>
        <w:tc>
          <w:tcPr/>
          <w:p>
            <w:pPr>
              <w:pStyle w:val="Compact"/>
            </w:pPr>
            <w:r>
              <w:t xml:space="preserve">123.978</w:t>
            </w:r>
          </w:p>
        </w:tc>
        <w:tc>
          <w:tcPr/>
          <w:p>
            <w:pPr>
              <w:pStyle w:val="Compact"/>
            </w:pPr>
            <w:r>
              <w:t xml:space="preserve">1.390,4</w:t>
            </w:r>
          </w:p>
        </w:tc>
        <w:tc>
          <w:tcPr/>
          <w:p>
            <w:pPr>
              <w:pStyle w:val="Compact"/>
            </w:pPr>
            <w:r>
              <w:t xml:space="preserve">89,2</w:t>
            </w:r>
          </w:p>
        </w:tc>
        <w:tc>
          <w:tcPr/>
          <w:p>
            <w:pPr>
              <w:pStyle w:val="Compact"/>
            </w:pPr>
            <w:r>
              <w:t xml:space="preserve">49,2 %</w:t>
            </w:r>
          </w:p>
        </w:tc>
      </w:tr>
      <w:tr>
        <w:tc>
          <w:tcPr/>
          <w:p>
            <w:pPr>
              <w:pStyle w:val="Compact"/>
            </w:pPr>
            <w:r>
              <w:t xml:space="preserve">Minero Agroecológica</w:t>
            </w:r>
          </w:p>
        </w:tc>
        <w:tc>
          <w:tcPr/>
          <w:p>
            <w:pPr>
              <w:pStyle w:val="Compact"/>
            </w:pPr>
            <w:r>
              <w:t xml:space="preserve">6</w:t>
            </w:r>
          </w:p>
        </w:tc>
        <w:tc>
          <w:tcPr/>
          <w:p>
            <w:pPr>
              <w:pStyle w:val="Compact"/>
            </w:pPr>
            <w:r>
              <w:t xml:space="preserve">146.335</w:t>
            </w:r>
          </w:p>
        </w:tc>
        <w:tc>
          <w:tcPr/>
          <w:p>
            <w:pPr>
              <w:pStyle w:val="Compact"/>
            </w:pPr>
            <w:r>
              <w:t xml:space="preserve">6.304,0</w:t>
            </w:r>
          </w:p>
        </w:tc>
        <w:tc>
          <w:tcPr/>
          <w:p>
            <w:pPr>
              <w:pStyle w:val="Compact"/>
            </w:pPr>
            <w:r>
              <w:t xml:space="preserve">23,2</w:t>
            </w:r>
          </w:p>
        </w:tc>
        <w:tc>
          <w:tcPr/>
          <w:p>
            <w:pPr>
              <w:pStyle w:val="Compact"/>
            </w:pPr>
            <w:r>
              <w:t xml:space="preserve">42,9 %</w:t>
            </w:r>
          </w:p>
        </w:tc>
      </w:tr>
      <w:tr>
        <w:tc>
          <w:tcPr/>
          <w:p>
            <w:pPr>
              <w:pStyle w:val="Compact"/>
            </w:pPr>
            <w:r>
              <w:t xml:space="preserve">Penderisco y Sinifana</w:t>
            </w:r>
          </w:p>
        </w:tc>
        <w:tc>
          <w:tcPr/>
          <w:p>
            <w:pPr>
              <w:pStyle w:val="Compact"/>
            </w:pPr>
            <w:r>
              <w:t xml:space="preserve">8</w:t>
            </w:r>
          </w:p>
        </w:tc>
        <w:tc>
          <w:tcPr/>
          <w:p>
            <w:pPr>
              <w:pStyle w:val="Compact"/>
            </w:pPr>
            <w:r>
              <w:t xml:space="preserve">138.517</w:t>
            </w:r>
          </w:p>
        </w:tc>
        <w:tc>
          <w:tcPr/>
          <w:p>
            <w:pPr>
              <w:pStyle w:val="Compact"/>
            </w:pPr>
            <w:r>
              <w:t xml:space="preserve">3.836,1</w:t>
            </w:r>
          </w:p>
        </w:tc>
        <w:tc>
          <w:tcPr/>
          <w:p>
            <w:pPr>
              <w:pStyle w:val="Compact"/>
            </w:pPr>
            <w:r>
              <w:t xml:space="preserve">36,1</w:t>
            </w:r>
          </w:p>
        </w:tc>
        <w:tc>
          <w:tcPr/>
          <w:p>
            <w:pPr>
              <w:pStyle w:val="Compact"/>
            </w:pPr>
            <w:r>
              <w:t xml:space="preserve">57,8 %</w:t>
            </w:r>
          </w:p>
        </w:tc>
      </w:tr>
      <w:tr>
        <w:tc>
          <w:tcPr/>
          <w:p>
            <w:pPr>
              <w:pStyle w:val="Compact"/>
            </w:pPr>
            <w:r>
              <w:t xml:space="preserve">Área Metropolitana</w:t>
            </w:r>
          </w:p>
        </w:tc>
        <w:tc>
          <w:tcPr/>
          <w:p>
            <w:pPr>
              <w:pStyle w:val="Compact"/>
            </w:pPr>
            <w:r>
              <w:t xml:space="preserve">10</w:t>
            </w:r>
          </w:p>
        </w:tc>
        <w:tc>
          <w:tcPr/>
          <w:p>
            <w:pPr>
              <w:pStyle w:val="Compact"/>
            </w:pPr>
            <w:r>
              <w:t xml:space="preserve">4.194.012</w:t>
            </w:r>
          </w:p>
        </w:tc>
        <w:tc>
          <w:tcPr/>
          <w:p>
            <w:pPr>
              <w:pStyle w:val="Compact"/>
            </w:pPr>
            <w:r>
              <w:t xml:space="preserve">1.167,1</w:t>
            </w:r>
          </w:p>
        </w:tc>
        <w:tc>
          <w:tcPr/>
          <w:p>
            <w:pPr>
              <w:pStyle w:val="Compact"/>
            </w:pPr>
            <w:r>
              <w:t xml:space="preserve">3.593,6</w:t>
            </w:r>
          </w:p>
        </w:tc>
        <w:tc>
          <w:tcPr/>
          <w:p>
            <w:pPr>
              <w:pStyle w:val="Compact"/>
            </w:pPr>
            <w:r>
              <w:t xml:space="preserve">5,7 %</w:t>
            </w:r>
          </w:p>
        </w:tc>
      </w:tr>
    </w:tbl>
    <w:p>
      <w:pPr>
        <w:pStyle w:val="BodyText"/>
      </w:pPr>
      <w:r>
        <w:rPr>
          <w:i/>
          <w:iCs/>
        </w:rPr>
        <w:t xml:space="preserve">Fuente: DANE y Gobernación de Antioquia. Cálculos propios.</w:t>
      </w:r>
    </w:p>
    <w:bookmarkEnd w:id="22"/>
    <w:bookmarkStart w:id="32" w:name="Xce81f102558d4d1f5e31d993a3ef565667e9aa5"/>
    <w:p>
      <w:pPr>
        <w:pStyle w:val="Heading2"/>
      </w:pPr>
      <w:r>
        <w:t xml:space="preserve">Condiciones de vida y desarrollo territorial</w:t>
      </w:r>
    </w:p>
    <w:p>
      <w:pPr>
        <w:pStyle w:val="FirstParagraph"/>
      </w:pPr>
      <w:r>
        <w:t xml:space="preserve">La pobreza por Necesidades Básicas Insatisfechas separa al sistema en dos bloques. En el extremo alto están Minero Agroecológica (24,7 %), Bioenergética del Norte de Antioquia (19,8 %) y Agroindustrial del Occidente (19,6 %); en el bajo, Área Metropolitana (7,1 %) y Del Río Grande (7,2 %). De las once provincias, 7 superan la incidencia departamental de 11,4 %.</w:t>
      </w:r>
      <w:r>
        <w:t xml:space="preserve"> </w:t>
      </w:r>
      <w:r>
        <w:t xml:space="preserve">El Índice de Ciudades Modernas ordena a las provincias de forma parecida pero no idéntica: encabezan Área Metropolitana (67,1) y Del Río Grande (51,3) y cierran Minero Agroecológica (37,8) y Bioenergética del Norte de Antioquia (39,9), frente a un valor departamental de 59,2. Que los dos ordenamientos no coincidan del todo es informativo: el ICM incorpora dimensiones de gestión pública, seguridad y sostenibilidad que el NBI no mide, de modo que una provincia puede tener carencias materiales y aun así una institucionalidad relativamente sólida, o al revés.</w:t>
      </w:r>
    </w:p>
    <w:p>
      <w:pPr>
        <w:pStyle w:val="CaptionedFigure"/>
      </w:pPr>
      <w:r>
        <w:drawing>
          <wp:inline>
            <wp:extent cx="5600700" cy="3519338"/>
            <wp:effectExtent b="0" l="0" r="0" t="0"/>
            <wp:docPr descr="5. Pobreza por NBI en las once provincias" title="" id="24" name="Picture"/>
            <a:graphic>
              <a:graphicData uri="http://schemas.openxmlformats.org/drawingml/2006/picture">
                <pic:pic>
                  <pic:nvPicPr>
                    <pic:cNvPr descr="03_Outputs/_Comparativo/figuras/fig_c06_nbi.png" id="25" name="Picture"/>
                    <pic:cNvPicPr>
                      <a:picLocks noChangeArrowheads="1" noChangeAspect="1"/>
                    </pic:cNvPicPr>
                  </pic:nvPicPr>
                  <pic:blipFill>
                    <a:blip r:embed="rId23"/>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5. Pobreza por NBI en las once provincias</w:t>
      </w:r>
    </w:p>
    <w:p>
      <w:pPr>
        <w:pStyle w:val="CaptionedFigure"/>
      </w:pPr>
      <w:r>
        <w:drawing>
          <wp:inline>
            <wp:extent cx="5600700" cy="4201266"/>
            <wp:effectExtent b="0" l="0" r="0" t="0"/>
            <wp:docPr descr="6. Geografía provincial de la pobreza por NBI" title="" id="27" name="Picture"/>
            <a:graphic>
              <a:graphicData uri="http://schemas.openxmlformats.org/drawingml/2006/picture">
                <pic:pic>
                  <pic:nvPicPr>
                    <pic:cNvPr descr="03_Outputs/_Comparativo/figuras/fig_c03_mapa_nbi.png" id="28" name="Picture"/>
                    <pic:cNvPicPr>
                      <a:picLocks noChangeArrowheads="1" noChangeAspect="1"/>
                    </pic:cNvPicPr>
                  </pic:nvPicPr>
                  <pic:blipFill>
                    <a:blip r:embed="rId26"/>
                    <a:stretch>
                      <a:fillRect/>
                    </a:stretch>
                  </pic:blipFill>
                  <pic:spPr bwMode="auto">
                    <a:xfrm>
                      <a:off x="0" y="0"/>
                      <a:ext cx="5600700" cy="4201266"/>
                    </a:xfrm>
                    <a:prstGeom prst="rect">
                      <a:avLst/>
                    </a:prstGeom>
                    <a:noFill/>
                    <a:ln w="9525">
                      <a:noFill/>
                      <a:headEnd/>
                      <a:tailEnd/>
                    </a:ln>
                  </pic:spPr>
                </pic:pic>
              </a:graphicData>
            </a:graphic>
          </wp:inline>
        </w:drawing>
      </w:r>
    </w:p>
    <w:p>
      <w:pPr>
        <w:pStyle w:val="ImageCaption"/>
      </w:pPr>
      <w:r>
        <w:t xml:space="preserve">6. Geografía provincial de la pobreza por NBI</w:t>
      </w:r>
    </w:p>
    <w:p>
      <w:pPr>
        <w:pStyle w:val="CaptionedFigure"/>
      </w:pPr>
      <w:r>
        <w:drawing>
          <wp:inline>
            <wp:extent cx="5600700" cy="3519338"/>
            <wp:effectExtent b="0" l="0" r="0" t="0"/>
            <wp:docPr descr="7. Índice de Ciudades Modernas por provincia" title="" id="30" name="Picture"/>
            <a:graphic>
              <a:graphicData uri="http://schemas.openxmlformats.org/drawingml/2006/picture">
                <pic:pic>
                  <pic:nvPicPr>
                    <pic:cNvPr descr="03_Outputs/_Comparativo/figuras/fig_c07_icm.png" id="31" name="Picture"/>
                    <pic:cNvPicPr>
                      <a:picLocks noChangeArrowheads="1" noChangeAspect="1"/>
                    </pic:cNvPicPr>
                  </pic:nvPicPr>
                  <pic:blipFill>
                    <a:blip r:embed="rId29"/>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7. Índice de Ciudades Modernas por provincia</w:t>
      </w:r>
    </w:p>
    <w:bookmarkEnd w:id="32"/>
    <w:bookmarkStart w:id="39" w:name="cómo-se-relacionan-las-dimensiones"/>
    <w:p>
      <w:pPr>
        <w:pStyle w:val="Heading2"/>
      </w:pPr>
      <w:r>
        <w:t xml:space="preserve">Cómo se relacionan las dimensiones</w:t>
      </w:r>
    </w:p>
    <w:p>
      <w:pPr>
        <w:pStyle w:val="FirstParagraph"/>
      </w:pPr>
      <w:r>
        <w:t xml:space="preserve">Una comparación entre once territorios permite ver qué indicadores se mueven juntos. Conviene empezar por una relación que</w:t>
      </w:r>
      <w:r>
        <w:t xml:space="preserve"> </w:t>
      </w:r>
      <w:r>
        <w:rPr>
          <w:b/>
          <w:bCs/>
        </w:rPr>
        <w:t xml:space="preserve">no</w:t>
      </w:r>
      <w:r>
        <w:t xml:space="preserve"> </w:t>
      </w:r>
      <w:r>
        <w:t xml:space="preserve">aparece. La ruralidad y la pobreza por NBI muestran una correlación de 0,47 entre las once provincias, pero al excluir al Área Metropolitana —que está en un extremo de las dos variables— la relación cae a 0,16, es decir, prácticamente nula. Entre las diez provincias rurales, ser más rural no predice tener más pobreza.</w:t>
      </w:r>
      <w:r>
        <w:t xml:space="preserve"> </w:t>
      </w:r>
      <w:r>
        <w:t xml:space="preserve">El resultado importa para la formulación: si la ruralidad explicara la pobreza, la política sería la misma en las diez provincias y variaría solo en intensidad. Como no la explica, lo que diferencia a una provincia pobre de una menos pobre hay que buscarlo en otra parte.</w:t>
      </w:r>
      <w:r>
        <w:t xml:space="preserve"> </w:t>
      </w:r>
      <w:r>
        <w:t xml:space="preserve">Las relaciones que sí son fuertes entre esas diez provincias apuntan en esa dirección. El Índice de Ciudades Modernas y la pobreza por NBI se mueven en direcciones opuestas con una correlación de -0,92; el acceso a internet fijo y la competitividad medida por el IMCA van juntos (0,94); la densidad poblacional y el déficit cualitativo de vivienda se oponen (-0,85); y la dependencia económica acompaña a la mortalidad infantil (0,80). El patrón que dibujan no es la ruralidad sino la</w:t>
      </w:r>
      <w:r>
        <w:t xml:space="preserve"> </w:t>
      </w:r>
      <w:r>
        <w:rPr>
          <w:b/>
          <w:bCs/>
        </w:rPr>
        <w:t xml:space="preserve">capacidad</w:t>
      </w:r>
      <w:r>
        <w:t xml:space="preserve">: institucional, de infraestructura y de servicios.</w:t>
      </w:r>
      <w:r>
        <w:t xml:space="preserve"> </w:t>
      </w:r>
      <w:r>
        <w:rPr>
          <w:b/>
          <w:bCs/>
        </w:rPr>
        <w:t xml:space="preserve">Estas correlaciones describen, no explican.</w:t>
      </w:r>
      <w:r>
        <w:t xml:space="preserve"> </w:t>
      </w:r>
      <w:r>
        <w:t xml:space="preserve">Con diez u once observaciones no sostienen ninguna inferencia causal, y no se presentan como tal. Sirven para dos cosas concretas: saber qué indicadores son redundantes al construir un tablero de seguimiento, y detectar regularidades que valga la pena investigar con otros métodos.</w:t>
      </w:r>
    </w:p>
    <w:p>
      <w:pPr>
        <w:pStyle w:val="CaptionedFigure"/>
      </w:pPr>
      <w:r>
        <w:drawing>
          <wp:inline>
            <wp:extent cx="5600700" cy="3851407"/>
            <wp:effectExtent b="0" l="0" r="0" t="0"/>
            <wp:docPr descr="8. Ruralidad y pobreza por NBI" title="" id="34" name="Picture"/>
            <a:graphic>
              <a:graphicData uri="http://schemas.openxmlformats.org/drawingml/2006/picture">
                <pic:pic>
                  <pic:nvPicPr>
                    <pic:cNvPr descr="03_Outputs/_Comparativo/figuras/fig_c09_ruralidad_nbi.png" id="35" name="Picture"/>
                    <pic:cNvPicPr>
                      <a:picLocks noChangeArrowheads="1" noChangeAspect="1"/>
                    </pic:cNvPicPr>
                  </pic:nvPicPr>
                  <pic:blipFill>
                    <a:blip r:embed="rId33"/>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8. Ruralidad y pobreza por NBI</w:t>
      </w:r>
    </w:p>
    <w:p>
      <w:pPr>
        <w:pStyle w:val="CaptionedFigure"/>
      </w:pPr>
      <w:r>
        <w:drawing>
          <wp:inline>
            <wp:extent cx="5600700" cy="3851407"/>
            <wp:effectExtent b="0" l="0" r="0" t="0"/>
            <wp:docPr descr="9. Desarrollo territorial y pobreza por NBI" title="" id="37" name="Picture"/>
            <a:graphic>
              <a:graphicData uri="http://schemas.openxmlformats.org/drawingml/2006/picture">
                <pic:pic>
                  <pic:nvPicPr>
                    <pic:cNvPr descr="03_Outputs/_Comparativo/figuras/fig_c10_icm_nbi.png" id="38" name="Picture"/>
                    <pic:cNvPicPr>
                      <a:picLocks noChangeArrowheads="1" noChangeAspect="1"/>
                    </pic:cNvPicPr>
                  </pic:nvPicPr>
                  <pic:blipFill>
                    <a:blip r:embed="rId36"/>
                    <a:stretch>
                      <a:fillRect/>
                    </a:stretch>
                  </pic:blipFill>
                  <pic:spPr bwMode="auto">
                    <a:xfrm>
                      <a:off x="0" y="0"/>
                      <a:ext cx="5600700" cy="3851407"/>
                    </a:xfrm>
                    <a:prstGeom prst="rect">
                      <a:avLst/>
                    </a:prstGeom>
                    <a:noFill/>
                    <a:ln w="9525">
                      <a:noFill/>
                      <a:headEnd/>
                      <a:tailEnd/>
                    </a:ln>
                  </pic:spPr>
                </pic:pic>
              </a:graphicData>
            </a:graphic>
          </wp:inline>
        </w:drawing>
      </w:r>
    </w:p>
    <w:p>
      <w:pPr>
        <w:pStyle w:val="ImageCaption"/>
      </w:pPr>
      <w:r>
        <w:t xml:space="preserve">9. Desarrollo territorial y pobreza por NBI</w:t>
      </w:r>
    </w:p>
    <w:bookmarkEnd w:id="39"/>
    <w:bookmarkStart w:id="43" w:name="seguridad-y-huella-del-conflicto"/>
    <w:p>
      <w:pPr>
        <w:pStyle w:val="Heading2"/>
      </w:pPr>
      <w:r>
        <w:t xml:space="preserve">Seguridad y huella del conflicto</w:t>
      </w:r>
    </w:p>
    <w:p>
      <w:pPr>
        <w:pStyle w:val="FirstParagraph"/>
      </w:pPr>
      <w:r>
        <w:t xml:space="preserve">La violencia homicida es la dimensión donde el sistema muestra mayor dispersión. Las tasas más altas corresponden a San Juan (132,3), Bioenergética del Norte de Antioquia (111,7) y Penderisco y Sinifana (84,5) y las más bajas a Área Metropolitana (10,7) y Del Río Grande (27,7), frente a un valor departamental de 25,3 por cada cien mil habitantes. La razón entre el extremo alto y el bajo es de 12,4 a 1: ninguna otra dimensión de este panel separa tanto a las provincias entre sí.</w:t>
      </w:r>
      <w:r>
        <w:t xml:space="preserve"> </w:t>
      </w:r>
      <w:r>
        <w:t xml:space="preserve">La huella del conflicto armado sigue una geografía propia. Medidas por cada mil habitantes, las victimizaciones por ocurrencia son más altas en Agroindustrial del Occidente (1.512,5) y Agua, Bosques y Turismo (1.144,5). Conviene recordar que son victimizaciones y no personas, y que corresponden a hechos acumulados a lo largo de décadas: describen el daño histórico, no la situación de seguridad presente.</w:t>
      </w:r>
    </w:p>
    <w:p>
      <w:pPr>
        <w:pStyle w:val="CaptionedFigure"/>
      </w:pPr>
      <w:r>
        <w:drawing>
          <wp:inline>
            <wp:extent cx="5600700" cy="3519338"/>
            <wp:effectExtent b="0" l="0" r="0" t="0"/>
            <wp:docPr descr="10. Homicidios por provincia" title="" id="41" name="Picture"/>
            <a:graphic>
              <a:graphicData uri="http://schemas.openxmlformats.org/drawingml/2006/picture">
                <pic:pic>
                  <pic:nvPicPr>
                    <pic:cNvPr descr="03_Outputs/_Comparativo/figuras/fig_c08_homicidios.png" id="42" name="Picture"/>
                    <pic:cNvPicPr>
                      <a:picLocks noChangeArrowheads="1" noChangeAspect="1"/>
                    </pic:cNvPicPr>
                  </pic:nvPicPr>
                  <pic:blipFill>
                    <a:blip r:embed="rId40"/>
                    <a:stretch>
                      <a:fillRect/>
                    </a:stretch>
                  </pic:blipFill>
                  <pic:spPr bwMode="auto">
                    <a:xfrm>
                      <a:off x="0" y="0"/>
                      <a:ext cx="5600700" cy="3519338"/>
                    </a:xfrm>
                    <a:prstGeom prst="rect">
                      <a:avLst/>
                    </a:prstGeom>
                    <a:noFill/>
                    <a:ln w="9525">
                      <a:noFill/>
                      <a:headEnd/>
                      <a:tailEnd/>
                    </a:ln>
                  </pic:spPr>
                </pic:pic>
              </a:graphicData>
            </a:graphic>
          </wp:inline>
        </w:drawing>
      </w:r>
    </w:p>
    <w:p>
      <w:pPr>
        <w:pStyle w:val="ImageCaption"/>
      </w:pPr>
      <w:r>
        <w:t xml:space="preserve">10. Homicidios por provincia</w:t>
      </w:r>
    </w:p>
    <w:bookmarkEnd w:id="43"/>
    <w:bookmarkStart w:id="47" w:name="el-perfil-de-cada-provincia"/>
    <w:p>
      <w:pPr>
        <w:pStyle w:val="Heading2"/>
      </w:pPr>
      <w:r>
        <w:t xml:space="preserve">El perfil de cada provincia</w:t>
      </w:r>
    </w:p>
    <w:p>
      <w:pPr>
        <w:pStyle w:val="FirstParagraph"/>
      </w:pPr>
      <w:r>
        <w:t xml:space="preserve">Ordenando a cada provincia en cada indicador y tomando su puesto mediano, Área Metropolitana ocupa la mejor posición del conjunto y Agroindustrial del Occidente la última. Pero el promedio esconde lo importante:</w:t>
      </w:r>
      <w:r>
        <w:t xml:space="preserve"> </w:t>
      </w:r>
      <w:r>
        <w:rPr>
          <w:b/>
          <w:bCs/>
        </w:rPr>
        <w:t xml:space="preserve">ninguna provincia está bien o mal en todo</w:t>
      </w:r>
      <w:r>
        <w:t xml:space="preserve">. La figura siguiente muestra el puesto de cada una en los 26 indicadores con orientación normativa, y lo que se ve es un mosaico, no una escalera.</w:t>
      </w:r>
      <w:r>
        <w:t xml:space="preserve"> </w:t>
      </w:r>
      <w:r>
        <w:t xml:space="preserve">Esa heterogeneidad es la justificación práctica del esquema asociativo. Si todas las provincias tuvieran el mismo perfil, la respuesta correcta sería una política departamental uniforme. Como no lo tienen, cada Plan Estratégico tiene que priorizar de forma distinta, y el sistema en su conjunto puede aprovechar que la fortaleza de una es la debilidad de otra.</w:t>
      </w:r>
    </w:p>
    <w:p>
      <w:pPr>
        <w:pStyle w:val="CaptionedFigure"/>
      </w:pPr>
      <w:r>
        <w:drawing>
          <wp:inline>
            <wp:extent cx="5600700" cy="7702815"/>
            <wp:effectExtent b="0" l="0" r="0" t="0"/>
            <wp:docPr descr="11. Puesto de cada provincia, indicador por indicador" title="" id="45" name="Picture"/>
            <a:graphic>
              <a:graphicData uri="http://schemas.openxmlformats.org/drawingml/2006/picture">
                <pic:pic>
                  <pic:nvPicPr>
                    <pic:cNvPr descr="03_Outputs/_Comparativo/figuras/fig_c11_perfil_posiciones.png" id="46" name="Picture"/>
                    <pic:cNvPicPr>
                      <a:picLocks noChangeArrowheads="1" noChangeAspect="1"/>
                    </pic:cNvPicPr>
                  </pic:nvPicPr>
                  <pic:blipFill>
                    <a:blip r:embed="rId44"/>
                    <a:stretch>
                      <a:fillRect/>
                    </a:stretch>
                  </pic:blipFill>
                  <pic:spPr bwMode="auto">
                    <a:xfrm>
                      <a:off x="0" y="0"/>
                      <a:ext cx="5600700" cy="7702815"/>
                    </a:xfrm>
                    <a:prstGeom prst="rect">
                      <a:avLst/>
                    </a:prstGeom>
                    <a:noFill/>
                    <a:ln w="9525">
                      <a:noFill/>
                      <a:headEnd/>
                      <a:tailEnd/>
                    </a:ln>
                  </pic:spPr>
                </pic:pic>
              </a:graphicData>
            </a:graphic>
          </wp:inline>
        </w:drawing>
      </w:r>
    </w:p>
    <w:p>
      <w:pPr>
        <w:pStyle w:val="ImageCaption"/>
      </w:pPr>
      <w:r>
        <w:t xml:space="preserve">11. Puesto de cada provincia, indicador por indicador</w:t>
      </w:r>
    </w:p>
    <w:bookmarkEnd w:id="47"/>
    <w:bookmarkStart w:id="48" w:name="cómo-leer-estas-comparaciones"/>
    <w:p>
      <w:pPr>
        <w:pStyle w:val="Heading2"/>
      </w:pPr>
      <w:r>
        <w:t xml:space="preserve">Cómo leer estas comparaciones</w:t>
      </w:r>
    </w:p>
    <w:p>
      <w:pPr>
        <w:pStyle w:val="FirstParagraph"/>
      </w:pPr>
      <w:r>
        <w:rPr>
          <w:b/>
          <w:bCs/>
        </w:rPr>
        <w:t xml:space="preserve">Los agregados provinciales no se calculan igual en todos los indicadores.</w:t>
      </w:r>
      <w:r>
        <w:t xml:space="preserve"> </w:t>
      </w:r>
      <w:r>
        <w:t xml:space="preserve">Cada uno usa el ponderador que le corresponde: población para las tasas por habitante, nacimientos para las medidas por nacimiento, población escolar para las educativas, y suma directa para los conteos. El anexo metodológico documenta la regla de cada uno.</w:t>
      </w:r>
      <w:r>
        <w:t xml:space="preserve"> </w:t>
      </w:r>
      <w:r>
        <w:rPr>
          <w:b/>
          <w:bCs/>
        </w:rPr>
        <w:t xml:space="preserve">Los cortes no son simultáneos.</w:t>
      </w:r>
      <w:r>
        <w:t xml:space="preserve"> </w:t>
      </w:r>
      <w:r>
        <w:t xml:space="preserve">Los indicadores de la ECV son de 2023, los de salud llegan hasta diciembre de 2025, el valor agregado va a precios constantes de 2015 y los delitos son de 2025. Comparar provincias en un mismo indicador es válido —todas usan el mismo corte—; sumar indicadores de cortes distintos en un índice compuesto, no.</w:t>
      </w:r>
      <w:r>
        <w:t xml:space="preserve"> </w:t>
      </w:r>
      <w:r>
        <w:rPr>
          <w:b/>
          <w:bCs/>
        </w:rPr>
        <w:t xml:space="preserve">El Área Metropolitana es un caso aparte.</w:t>
      </w:r>
      <w:r>
        <w:t xml:space="preserve"> </w:t>
      </w:r>
      <w:r>
        <w:t xml:space="preserve">Entra al sistema con una escala y una naturaleza distintas de las otras diez. En varias figuras aparece en un extremo, y ese extremo describe una diferencia de tipo, no de grado.</w:t>
      </w:r>
      <w:r>
        <w:t xml:space="preserve"> </w:t>
      </w:r>
      <w:r>
        <w:rPr>
          <w:b/>
          <w:bCs/>
        </w:rPr>
        <w:t xml:space="preserve">Los puestos son ordinales.</w:t>
      </w:r>
      <w:r>
        <w:t xml:space="preserve"> </w:t>
      </w:r>
      <w:r>
        <w:t xml:space="preserve">Que una provincia ocupe el puesto 3 no dice a qué distancia está de la 2 ni de la 4. Para eso están las cifras del panel, que acompañan a cada figura.</w:t>
      </w:r>
    </w:p>
    <w:p>
      <w:pPr>
        <w:pStyle w:val="BlockText"/>
      </w:pPr>
      <w:r>
        <w:rPr>
          <w:b/>
          <w:bCs/>
        </w:rPr>
        <w:t xml:space="preserve">Verificar con el equipo</w:t>
      </w:r>
      <w:r>
        <w:t xml:space="preserve"> </w:t>
      </w:r>
      <w:r>
        <w:t xml:space="preserve">— si el esquema asociativo tiene hoy instancias de coordinación entre provincias, y si los Hechos Provinciales de los once Planes preliminares coinciden entre sí. Este panel compara resultados; no dice nada sobre las apuestas que cada Provincia ya definió.</w:t>
      </w:r>
    </w:p>
    <w:bookmarkEnd w:id="48"/>
    <w:sectPr w:rsidR="006E5286">
      <w:pgSz w:h="15840" w:w="12240"/>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libri"/>
    <w:charset w:val="00"/>
    <w:family w:val="auto"/>
    <w:pitch w:val="variable"/>
    <w:sig w:usb0="E0000AFF" w:usb1="5200A1F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21C08DD"/>
    <w:multiLevelType w:val="hybridMultilevel"/>
    <w:tmpl w:val="54B6332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
    <w:nsid w:val="05AF8CDD"/>
    <w:multiLevelType w:val="hybridMultilevel"/>
    <w:tmpl w:val="85B62540"/>
    <w:lvl w:ilvl="0" w:tplc="8CB2086E">
      <w:start w:val="1"/>
      <w:numFmt w:val="bullet"/>
      <w:lvlText w:val=""/>
      <w:lvlJc w:val="left"/>
      <w:pPr>
        <w:ind w:hanging="360" w:left="720"/>
      </w:pPr>
      <w:rPr>
        <w:rFonts w:ascii="Symbol" w:hAnsi="Symbol" w:hint="default"/>
      </w:rPr>
    </w:lvl>
    <w:lvl w:ilvl="1" w:tplc="BAA49C82">
      <w:start w:val="1"/>
      <w:numFmt w:val="bullet"/>
      <w:lvlText w:val="o"/>
      <w:lvlJc w:val="left"/>
      <w:pPr>
        <w:ind w:hanging="360" w:left="1440"/>
      </w:pPr>
      <w:rPr>
        <w:rFonts w:ascii="Courier New" w:hAnsi="Courier New" w:hint="default"/>
      </w:rPr>
    </w:lvl>
    <w:lvl w:ilvl="2" w:tplc="BD8654CE">
      <w:start w:val="1"/>
      <w:numFmt w:val="bullet"/>
      <w:lvlText w:val=""/>
      <w:lvlJc w:val="left"/>
      <w:pPr>
        <w:ind w:hanging="360" w:left="2160"/>
      </w:pPr>
      <w:rPr>
        <w:rFonts w:ascii="Wingdings" w:hAnsi="Wingdings" w:hint="default"/>
      </w:rPr>
    </w:lvl>
    <w:lvl w:ilvl="3" w:tplc="BF48D584">
      <w:start w:val="1"/>
      <w:numFmt w:val="bullet"/>
      <w:lvlText w:val=""/>
      <w:lvlJc w:val="left"/>
      <w:pPr>
        <w:ind w:hanging="360" w:left="2880"/>
      </w:pPr>
      <w:rPr>
        <w:rFonts w:ascii="Symbol" w:hAnsi="Symbol" w:hint="default"/>
      </w:rPr>
    </w:lvl>
    <w:lvl w:ilvl="4" w:tplc="A0D6BA6C">
      <w:start w:val="1"/>
      <w:numFmt w:val="bullet"/>
      <w:lvlText w:val="o"/>
      <w:lvlJc w:val="left"/>
      <w:pPr>
        <w:ind w:hanging="360" w:left="3600"/>
      </w:pPr>
      <w:rPr>
        <w:rFonts w:ascii="Courier New" w:hAnsi="Courier New" w:hint="default"/>
      </w:rPr>
    </w:lvl>
    <w:lvl w:ilvl="5" w:tplc="73F646EE">
      <w:start w:val="1"/>
      <w:numFmt w:val="bullet"/>
      <w:lvlText w:val=""/>
      <w:lvlJc w:val="left"/>
      <w:pPr>
        <w:ind w:hanging="360" w:left="4320"/>
      </w:pPr>
      <w:rPr>
        <w:rFonts w:ascii="Wingdings" w:hAnsi="Wingdings" w:hint="default"/>
      </w:rPr>
    </w:lvl>
    <w:lvl w:ilvl="6" w:tplc="7C425D12">
      <w:start w:val="1"/>
      <w:numFmt w:val="bullet"/>
      <w:lvlText w:val=""/>
      <w:lvlJc w:val="left"/>
      <w:pPr>
        <w:ind w:hanging="360" w:left="5040"/>
      </w:pPr>
      <w:rPr>
        <w:rFonts w:ascii="Symbol" w:hAnsi="Symbol" w:hint="default"/>
      </w:rPr>
    </w:lvl>
    <w:lvl w:ilvl="7" w:tplc="13C4C8F8">
      <w:start w:val="1"/>
      <w:numFmt w:val="bullet"/>
      <w:lvlText w:val="o"/>
      <w:lvlJc w:val="left"/>
      <w:pPr>
        <w:ind w:hanging="360" w:left="5760"/>
      </w:pPr>
      <w:rPr>
        <w:rFonts w:ascii="Courier New" w:hAnsi="Courier New" w:hint="default"/>
      </w:rPr>
    </w:lvl>
    <w:lvl w:ilvl="8" w:tplc="729AE612">
      <w:start w:val="1"/>
      <w:numFmt w:val="bullet"/>
      <w:lvlText w:val=""/>
      <w:lvlJc w:val="left"/>
      <w:pPr>
        <w:ind w:hanging="360" w:left="6480"/>
      </w:pPr>
      <w:rPr>
        <w:rFonts w:ascii="Wingdings" w:hAnsi="Wingdings" w:hint="default"/>
      </w:rPr>
    </w:lvl>
  </w:abstractNum>
  <w:abstractNum w15:restartNumberingAfterBreak="0" w:abstractNumId="2">
    <w:nsid w:val="0914025E"/>
    <w:multiLevelType w:val="hybridMultilevel"/>
    <w:tmpl w:val="E16229B4"/>
    <w:lvl w:ilvl="0" w:tplc="04090017">
      <w:start w:val="1"/>
      <w:numFmt w:val="lowerLetter"/>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08578BD"/>
    <w:multiLevelType w:val="hybridMultilevel"/>
    <w:tmpl w:val="6C9E4C3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4">
    <w:nsid w:val="164101E8"/>
    <w:multiLevelType w:val="hybridMultilevel"/>
    <w:tmpl w:val="90EE6DD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5">
    <w:nsid w:val="17AE60C3"/>
    <w:multiLevelType w:val="hybridMultilevel"/>
    <w:tmpl w:val="87D6B0D4"/>
    <w:lvl w:ilvl="0" w:tplc="372A9D3A">
      <w:start w:val="1"/>
      <w:numFmt w:val="bullet"/>
      <w:lvlText w:val="·"/>
      <w:lvlJc w:val="left"/>
      <w:pPr>
        <w:ind w:hanging="360" w:left="720"/>
      </w:pPr>
      <w:rPr>
        <w:rFonts w:ascii="Symbol" w:hAnsi="Symbol" w:hint="default"/>
      </w:rPr>
    </w:lvl>
    <w:lvl w:ilvl="1" w:tplc="35FC767C">
      <w:start w:val="1"/>
      <w:numFmt w:val="bullet"/>
      <w:lvlText w:val="o"/>
      <w:lvlJc w:val="left"/>
      <w:pPr>
        <w:ind w:hanging="360" w:left="1440"/>
      </w:pPr>
      <w:rPr>
        <w:rFonts w:ascii="Courier New" w:hAnsi="Courier New" w:hint="default"/>
      </w:rPr>
    </w:lvl>
    <w:lvl w:ilvl="2" w:tplc="145EBAA6">
      <w:start w:val="1"/>
      <w:numFmt w:val="bullet"/>
      <w:lvlText w:val=""/>
      <w:lvlJc w:val="left"/>
      <w:pPr>
        <w:ind w:hanging="360" w:left="2160"/>
      </w:pPr>
      <w:rPr>
        <w:rFonts w:ascii="Wingdings" w:hAnsi="Wingdings" w:hint="default"/>
      </w:rPr>
    </w:lvl>
    <w:lvl w:ilvl="3" w:tplc="1982F3BC">
      <w:start w:val="1"/>
      <w:numFmt w:val="bullet"/>
      <w:lvlText w:val=""/>
      <w:lvlJc w:val="left"/>
      <w:pPr>
        <w:ind w:hanging="360" w:left="2880"/>
      </w:pPr>
      <w:rPr>
        <w:rFonts w:ascii="Symbol" w:hAnsi="Symbol" w:hint="default"/>
      </w:rPr>
    </w:lvl>
    <w:lvl w:ilvl="4" w:tplc="1B1A2978">
      <w:start w:val="1"/>
      <w:numFmt w:val="bullet"/>
      <w:lvlText w:val="o"/>
      <w:lvlJc w:val="left"/>
      <w:pPr>
        <w:ind w:hanging="360" w:left="3600"/>
      </w:pPr>
      <w:rPr>
        <w:rFonts w:ascii="Courier New" w:hAnsi="Courier New" w:hint="default"/>
      </w:rPr>
    </w:lvl>
    <w:lvl w:ilvl="5" w:tplc="5E8A49F0">
      <w:start w:val="1"/>
      <w:numFmt w:val="bullet"/>
      <w:lvlText w:val=""/>
      <w:lvlJc w:val="left"/>
      <w:pPr>
        <w:ind w:hanging="360" w:left="4320"/>
      </w:pPr>
      <w:rPr>
        <w:rFonts w:ascii="Wingdings" w:hAnsi="Wingdings" w:hint="default"/>
      </w:rPr>
    </w:lvl>
    <w:lvl w:ilvl="6" w:tplc="DC9E4DAE">
      <w:start w:val="1"/>
      <w:numFmt w:val="bullet"/>
      <w:lvlText w:val=""/>
      <w:lvlJc w:val="left"/>
      <w:pPr>
        <w:ind w:hanging="360" w:left="5040"/>
      </w:pPr>
      <w:rPr>
        <w:rFonts w:ascii="Symbol" w:hAnsi="Symbol" w:hint="default"/>
      </w:rPr>
    </w:lvl>
    <w:lvl w:ilvl="7" w:tplc="788649D4">
      <w:start w:val="1"/>
      <w:numFmt w:val="bullet"/>
      <w:lvlText w:val="o"/>
      <w:lvlJc w:val="left"/>
      <w:pPr>
        <w:ind w:hanging="360" w:left="5760"/>
      </w:pPr>
      <w:rPr>
        <w:rFonts w:ascii="Courier New" w:hAnsi="Courier New" w:hint="default"/>
      </w:rPr>
    </w:lvl>
    <w:lvl w:ilvl="8" w:tplc="AF282B78">
      <w:start w:val="1"/>
      <w:numFmt w:val="bullet"/>
      <w:lvlText w:val=""/>
      <w:lvlJc w:val="left"/>
      <w:pPr>
        <w:ind w:hanging="360" w:left="6480"/>
      </w:pPr>
      <w:rPr>
        <w:rFonts w:ascii="Wingdings" w:hAnsi="Wingdings" w:hint="default"/>
      </w:rPr>
    </w:lvl>
  </w:abstractNum>
  <w:abstractNum w15:restartNumberingAfterBreak="0" w:abstractNumId="6">
    <w:nsid w:val="2586331E"/>
    <w:multiLevelType w:val="hybridMultilevel"/>
    <w:tmpl w:val="A4C46CB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7">
    <w:nsid w:val="26C6971F"/>
    <w:multiLevelType w:val="hybridMultilevel"/>
    <w:tmpl w:val="F3D0F61A"/>
    <w:lvl w:ilvl="0" w:tplc="00A03A86">
      <w:start w:val="1"/>
      <w:numFmt w:val="bullet"/>
      <w:lvlText w:val=""/>
      <w:lvlJc w:val="left"/>
      <w:pPr>
        <w:ind w:hanging="360" w:left="720"/>
      </w:pPr>
      <w:rPr>
        <w:rFonts w:ascii="Symbol" w:hAnsi="Symbol" w:hint="default"/>
      </w:rPr>
    </w:lvl>
    <w:lvl w:ilvl="1" w:tplc="7D301EF0">
      <w:start w:val="1"/>
      <w:numFmt w:val="bullet"/>
      <w:lvlText w:val="o"/>
      <w:lvlJc w:val="left"/>
      <w:pPr>
        <w:ind w:hanging="360" w:left="1440"/>
      </w:pPr>
      <w:rPr>
        <w:rFonts w:ascii="Courier New" w:hAnsi="Courier New" w:hint="default"/>
      </w:rPr>
    </w:lvl>
    <w:lvl w:ilvl="2" w:tplc="67D020EE">
      <w:start w:val="1"/>
      <w:numFmt w:val="bullet"/>
      <w:lvlText w:val=""/>
      <w:lvlJc w:val="left"/>
      <w:pPr>
        <w:ind w:hanging="360" w:left="2160"/>
      </w:pPr>
      <w:rPr>
        <w:rFonts w:ascii="Wingdings" w:hAnsi="Wingdings" w:hint="default"/>
      </w:rPr>
    </w:lvl>
    <w:lvl w:ilvl="3" w:tplc="AAAAEB14">
      <w:start w:val="1"/>
      <w:numFmt w:val="bullet"/>
      <w:lvlText w:val=""/>
      <w:lvlJc w:val="left"/>
      <w:pPr>
        <w:ind w:hanging="360" w:left="2880"/>
      </w:pPr>
      <w:rPr>
        <w:rFonts w:ascii="Symbol" w:hAnsi="Symbol" w:hint="default"/>
      </w:rPr>
    </w:lvl>
    <w:lvl w:ilvl="4" w:tplc="10D0598E">
      <w:start w:val="1"/>
      <w:numFmt w:val="bullet"/>
      <w:lvlText w:val="o"/>
      <w:lvlJc w:val="left"/>
      <w:pPr>
        <w:ind w:hanging="360" w:left="3600"/>
      </w:pPr>
      <w:rPr>
        <w:rFonts w:ascii="Courier New" w:hAnsi="Courier New" w:hint="default"/>
      </w:rPr>
    </w:lvl>
    <w:lvl w:ilvl="5" w:tplc="2F983DA4">
      <w:start w:val="1"/>
      <w:numFmt w:val="bullet"/>
      <w:lvlText w:val=""/>
      <w:lvlJc w:val="left"/>
      <w:pPr>
        <w:ind w:hanging="360" w:left="4320"/>
      </w:pPr>
      <w:rPr>
        <w:rFonts w:ascii="Wingdings" w:hAnsi="Wingdings" w:hint="default"/>
      </w:rPr>
    </w:lvl>
    <w:lvl w:ilvl="6" w:tplc="270095CE">
      <w:start w:val="1"/>
      <w:numFmt w:val="bullet"/>
      <w:lvlText w:val=""/>
      <w:lvlJc w:val="left"/>
      <w:pPr>
        <w:ind w:hanging="360" w:left="5040"/>
      </w:pPr>
      <w:rPr>
        <w:rFonts w:ascii="Symbol" w:hAnsi="Symbol" w:hint="default"/>
      </w:rPr>
    </w:lvl>
    <w:lvl w:ilvl="7" w:tplc="74323054">
      <w:start w:val="1"/>
      <w:numFmt w:val="bullet"/>
      <w:lvlText w:val="o"/>
      <w:lvlJc w:val="left"/>
      <w:pPr>
        <w:ind w:hanging="360" w:left="5760"/>
      </w:pPr>
      <w:rPr>
        <w:rFonts w:ascii="Courier New" w:hAnsi="Courier New" w:hint="default"/>
      </w:rPr>
    </w:lvl>
    <w:lvl w:ilvl="8" w:tplc="53A437B2">
      <w:start w:val="1"/>
      <w:numFmt w:val="bullet"/>
      <w:lvlText w:val=""/>
      <w:lvlJc w:val="left"/>
      <w:pPr>
        <w:ind w:hanging="360" w:left="6480"/>
      </w:pPr>
      <w:rPr>
        <w:rFonts w:ascii="Wingdings" w:hAnsi="Wingdings" w:hint="default"/>
      </w:rPr>
    </w:lvl>
  </w:abstractNum>
  <w:abstractNum w15:restartNumberingAfterBreak="0" w:abstractNumId="8">
    <w:nsid w:val="274B42C1"/>
    <w:multiLevelType w:val="hybridMultilevel"/>
    <w:tmpl w:val="13AC1042"/>
    <w:lvl w:ilvl="0" w:tplc="FFE4847C">
      <w:start w:val="1"/>
      <w:numFmt w:val="bullet"/>
      <w:lvlText w:val=""/>
      <w:lvlJc w:val="left"/>
      <w:pPr>
        <w:ind w:hanging="360" w:left="720"/>
      </w:pPr>
      <w:rPr>
        <w:rFonts w:ascii="Symbol" w:hAnsi="Symbol" w:hint="default"/>
      </w:rPr>
    </w:lvl>
    <w:lvl w:ilvl="1" w:tplc="2CD080A2">
      <w:start w:val="1"/>
      <w:numFmt w:val="bullet"/>
      <w:lvlText w:val="o"/>
      <w:lvlJc w:val="left"/>
      <w:pPr>
        <w:ind w:hanging="360" w:left="1440"/>
      </w:pPr>
      <w:rPr>
        <w:rFonts w:ascii="Courier New" w:hAnsi="Courier New" w:hint="default"/>
      </w:rPr>
    </w:lvl>
    <w:lvl w:ilvl="2" w:tplc="5F2455B8">
      <w:start w:val="1"/>
      <w:numFmt w:val="bullet"/>
      <w:lvlText w:val=""/>
      <w:lvlJc w:val="left"/>
      <w:pPr>
        <w:ind w:hanging="360" w:left="2160"/>
      </w:pPr>
      <w:rPr>
        <w:rFonts w:ascii="Wingdings" w:hAnsi="Wingdings" w:hint="default"/>
      </w:rPr>
    </w:lvl>
    <w:lvl w:ilvl="3" w:tplc="FAD2E57A">
      <w:start w:val="1"/>
      <w:numFmt w:val="bullet"/>
      <w:lvlText w:val=""/>
      <w:lvlJc w:val="left"/>
      <w:pPr>
        <w:ind w:hanging="360" w:left="2880"/>
      </w:pPr>
      <w:rPr>
        <w:rFonts w:ascii="Symbol" w:hAnsi="Symbol" w:hint="default"/>
      </w:rPr>
    </w:lvl>
    <w:lvl w:ilvl="4" w:tplc="290AC8A6">
      <w:start w:val="1"/>
      <w:numFmt w:val="bullet"/>
      <w:lvlText w:val="o"/>
      <w:lvlJc w:val="left"/>
      <w:pPr>
        <w:ind w:hanging="360" w:left="3600"/>
      </w:pPr>
      <w:rPr>
        <w:rFonts w:ascii="Courier New" w:hAnsi="Courier New" w:hint="default"/>
      </w:rPr>
    </w:lvl>
    <w:lvl w:ilvl="5" w:tplc="32565CB2">
      <w:start w:val="1"/>
      <w:numFmt w:val="bullet"/>
      <w:lvlText w:val=""/>
      <w:lvlJc w:val="left"/>
      <w:pPr>
        <w:ind w:hanging="360" w:left="4320"/>
      </w:pPr>
      <w:rPr>
        <w:rFonts w:ascii="Wingdings" w:hAnsi="Wingdings" w:hint="default"/>
      </w:rPr>
    </w:lvl>
    <w:lvl w:ilvl="6" w:tplc="7E8EB19C">
      <w:start w:val="1"/>
      <w:numFmt w:val="bullet"/>
      <w:lvlText w:val=""/>
      <w:lvlJc w:val="left"/>
      <w:pPr>
        <w:ind w:hanging="360" w:left="5040"/>
      </w:pPr>
      <w:rPr>
        <w:rFonts w:ascii="Symbol" w:hAnsi="Symbol" w:hint="default"/>
      </w:rPr>
    </w:lvl>
    <w:lvl w:ilvl="7" w:tplc="5EA66A04">
      <w:start w:val="1"/>
      <w:numFmt w:val="bullet"/>
      <w:lvlText w:val="o"/>
      <w:lvlJc w:val="left"/>
      <w:pPr>
        <w:ind w:hanging="360" w:left="5760"/>
      </w:pPr>
      <w:rPr>
        <w:rFonts w:ascii="Courier New" w:hAnsi="Courier New" w:hint="default"/>
      </w:rPr>
    </w:lvl>
    <w:lvl w:ilvl="8" w:tplc="B204DFC0">
      <w:start w:val="1"/>
      <w:numFmt w:val="bullet"/>
      <w:lvlText w:val=""/>
      <w:lvlJc w:val="left"/>
      <w:pPr>
        <w:ind w:hanging="360" w:left="6480"/>
      </w:pPr>
      <w:rPr>
        <w:rFonts w:ascii="Wingdings" w:hAnsi="Wingdings" w:hint="default"/>
      </w:rPr>
    </w:lvl>
  </w:abstractNum>
  <w:abstractNum w15:restartNumberingAfterBreak="0" w:abstractNumId="9">
    <w:nsid w:val="33E62123"/>
    <w:multiLevelType w:val="hybridMultilevel"/>
    <w:tmpl w:val="647AFF10"/>
    <w:lvl w:ilvl="0" w:tplc="B0FE9326">
      <w:start w:val="1"/>
      <w:numFmt w:val="bullet"/>
      <w:lvlText w:val=""/>
      <w:lvlJc w:val="left"/>
      <w:pPr>
        <w:ind w:hanging="360" w:left="720"/>
      </w:pPr>
      <w:rPr>
        <w:rFonts w:ascii="Symbol" w:hAnsi="Symbol" w:hint="default"/>
      </w:rPr>
    </w:lvl>
    <w:lvl w:ilvl="1" w:tplc="8222E992">
      <w:start w:val="1"/>
      <w:numFmt w:val="bullet"/>
      <w:lvlText w:val="o"/>
      <w:lvlJc w:val="left"/>
      <w:pPr>
        <w:ind w:hanging="360" w:left="1440"/>
      </w:pPr>
      <w:rPr>
        <w:rFonts w:ascii="Courier New" w:hAnsi="Courier New" w:hint="default"/>
      </w:rPr>
    </w:lvl>
    <w:lvl w:ilvl="2" w:tplc="3EB2951E">
      <w:start w:val="1"/>
      <w:numFmt w:val="bullet"/>
      <w:lvlText w:val=""/>
      <w:lvlJc w:val="left"/>
      <w:pPr>
        <w:ind w:hanging="360" w:left="2160"/>
      </w:pPr>
      <w:rPr>
        <w:rFonts w:ascii="Wingdings" w:hAnsi="Wingdings" w:hint="default"/>
      </w:rPr>
    </w:lvl>
    <w:lvl w:ilvl="3" w:tplc="19B2008E">
      <w:start w:val="1"/>
      <w:numFmt w:val="bullet"/>
      <w:lvlText w:val=""/>
      <w:lvlJc w:val="left"/>
      <w:pPr>
        <w:ind w:hanging="360" w:left="2880"/>
      </w:pPr>
      <w:rPr>
        <w:rFonts w:ascii="Symbol" w:hAnsi="Symbol" w:hint="default"/>
      </w:rPr>
    </w:lvl>
    <w:lvl w:ilvl="4" w:tplc="BA5831E2">
      <w:start w:val="1"/>
      <w:numFmt w:val="bullet"/>
      <w:lvlText w:val="o"/>
      <w:lvlJc w:val="left"/>
      <w:pPr>
        <w:ind w:hanging="360" w:left="3600"/>
      </w:pPr>
      <w:rPr>
        <w:rFonts w:ascii="Courier New" w:hAnsi="Courier New" w:hint="default"/>
      </w:rPr>
    </w:lvl>
    <w:lvl w:ilvl="5" w:tplc="0C241118">
      <w:start w:val="1"/>
      <w:numFmt w:val="bullet"/>
      <w:lvlText w:val=""/>
      <w:lvlJc w:val="left"/>
      <w:pPr>
        <w:ind w:hanging="360" w:left="4320"/>
      </w:pPr>
      <w:rPr>
        <w:rFonts w:ascii="Wingdings" w:hAnsi="Wingdings" w:hint="default"/>
      </w:rPr>
    </w:lvl>
    <w:lvl w:ilvl="6" w:tplc="28AC9608">
      <w:start w:val="1"/>
      <w:numFmt w:val="bullet"/>
      <w:lvlText w:val=""/>
      <w:lvlJc w:val="left"/>
      <w:pPr>
        <w:ind w:hanging="360" w:left="5040"/>
      </w:pPr>
      <w:rPr>
        <w:rFonts w:ascii="Symbol" w:hAnsi="Symbol" w:hint="default"/>
      </w:rPr>
    </w:lvl>
    <w:lvl w:ilvl="7" w:tplc="195A07AE">
      <w:start w:val="1"/>
      <w:numFmt w:val="bullet"/>
      <w:lvlText w:val="o"/>
      <w:lvlJc w:val="left"/>
      <w:pPr>
        <w:ind w:hanging="360" w:left="5760"/>
      </w:pPr>
      <w:rPr>
        <w:rFonts w:ascii="Courier New" w:hAnsi="Courier New" w:hint="default"/>
      </w:rPr>
    </w:lvl>
    <w:lvl w:ilvl="8" w:tplc="2006F1AA">
      <w:start w:val="1"/>
      <w:numFmt w:val="bullet"/>
      <w:lvlText w:val=""/>
      <w:lvlJc w:val="left"/>
      <w:pPr>
        <w:ind w:hanging="360" w:left="6480"/>
      </w:pPr>
      <w:rPr>
        <w:rFonts w:ascii="Wingdings" w:hAnsi="Wingdings" w:hint="default"/>
      </w:rPr>
    </w:lvl>
  </w:abstractNum>
  <w:abstractNum w15:restartNumberingAfterBreak="0" w:abstractNumId="10">
    <w:nsid w:val="34235F35"/>
    <w:multiLevelType w:val="hybridMultilevel"/>
    <w:tmpl w:val="62E6743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1">
    <w:nsid w:val="37417189"/>
    <w:multiLevelType w:val="hybridMultilevel"/>
    <w:tmpl w:val="BA3883D2"/>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2">
    <w:nsid w:val="378D69FB"/>
    <w:multiLevelType w:val="hybridMultilevel"/>
    <w:tmpl w:val="3676BDE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3">
    <w:nsid w:val="3A700F35"/>
    <w:multiLevelType w:val="hybridMultilevel"/>
    <w:tmpl w:val="2F9E0B48"/>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4">
    <w:nsid w:val="3C7A4701"/>
    <w:multiLevelType w:val="hybridMultilevel"/>
    <w:tmpl w:val="648E3C24"/>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5">
    <w:nsid w:val="47ED053C"/>
    <w:multiLevelType w:val="hybridMultilevel"/>
    <w:tmpl w:val="E29E51EE"/>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6">
    <w:nsid w:val="48EA0CD0"/>
    <w:multiLevelType w:val="hybridMultilevel"/>
    <w:tmpl w:val="922ABCE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7">
    <w:nsid w:val="4AA1DB6B"/>
    <w:multiLevelType w:val="hybridMultilevel"/>
    <w:tmpl w:val="2C96FE44"/>
    <w:lvl w:ilvl="0" w:tplc="1A126BE2">
      <w:start w:val="1"/>
      <w:numFmt w:val="bullet"/>
      <w:lvlText w:val="·"/>
      <w:lvlJc w:val="left"/>
      <w:pPr>
        <w:ind w:hanging="360" w:left="720"/>
      </w:pPr>
      <w:rPr>
        <w:rFonts w:ascii="Symbol" w:hAnsi="Symbol" w:hint="default"/>
      </w:rPr>
    </w:lvl>
    <w:lvl w:ilvl="1" w:tplc="4FA00A84">
      <w:start w:val="1"/>
      <w:numFmt w:val="bullet"/>
      <w:lvlText w:val="o"/>
      <w:lvlJc w:val="left"/>
      <w:pPr>
        <w:ind w:hanging="360" w:left="1440"/>
      </w:pPr>
      <w:rPr>
        <w:rFonts w:ascii="Courier New" w:hAnsi="Courier New" w:hint="default"/>
      </w:rPr>
    </w:lvl>
    <w:lvl w:ilvl="2" w:tplc="A6245810">
      <w:start w:val="1"/>
      <w:numFmt w:val="bullet"/>
      <w:lvlText w:val=""/>
      <w:lvlJc w:val="left"/>
      <w:pPr>
        <w:ind w:hanging="360" w:left="2160"/>
      </w:pPr>
      <w:rPr>
        <w:rFonts w:ascii="Wingdings" w:hAnsi="Wingdings" w:hint="default"/>
      </w:rPr>
    </w:lvl>
    <w:lvl w:ilvl="3" w:tplc="EF7031DE">
      <w:start w:val="1"/>
      <w:numFmt w:val="bullet"/>
      <w:lvlText w:val=""/>
      <w:lvlJc w:val="left"/>
      <w:pPr>
        <w:ind w:hanging="360" w:left="2880"/>
      </w:pPr>
      <w:rPr>
        <w:rFonts w:ascii="Symbol" w:hAnsi="Symbol" w:hint="default"/>
      </w:rPr>
    </w:lvl>
    <w:lvl w:ilvl="4" w:tplc="8474FC06">
      <w:start w:val="1"/>
      <w:numFmt w:val="bullet"/>
      <w:lvlText w:val="o"/>
      <w:lvlJc w:val="left"/>
      <w:pPr>
        <w:ind w:hanging="360" w:left="3600"/>
      </w:pPr>
      <w:rPr>
        <w:rFonts w:ascii="Courier New" w:hAnsi="Courier New" w:hint="default"/>
      </w:rPr>
    </w:lvl>
    <w:lvl w:ilvl="5" w:tplc="FDC89FCE">
      <w:start w:val="1"/>
      <w:numFmt w:val="bullet"/>
      <w:lvlText w:val=""/>
      <w:lvlJc w:val="left"/>
      <w:pPr>
        <w:ind w:hanging="360" w:left="4320"/>
      </w:pPr>
      <w:rPr>
        <w:rFonts w:ascii="Wingdings" w:hAnsi="Wingdings" w:hint="default"/>
      </w:rPr>
    </w:lvl>
    <w:lvl w:ilvl="6" w:tplc="256ABA88">
      <w:start w:val="1"/>
      <w:numFmt w:val="bullet"/>
      <w:lvlText w:val=""/>
      <w:lvlJc w:val="left"/>
      <w:pPr>
        <w:ind w:hanging="360" w:left="5040"/>
      </w:pPr>
      <w:rPr>
        <w:rFonts w:ascii="Symbol" w:hAnsi="Symbol" w:hint="default"/>
      </w:rPr>
    </w:lvl>
    <w:lvl w:ilvl="7" w:tplc="A1B2B442">
      <w:start w:val="1"/>
      <w:numFmt w:val="bullet"/>
      <w:lvlText w:val="o"/>
      <w:lvlJc w:val="left"/>
      <w:pPr>
        <w:ind w:hanging="360" w:left="5760"/>
      </w:pPr>
      <w:rPr>
        <w:rFonts w:ascii="Courier New" w:hAnsi="Courier New" w:hint="default"/>
      </w:rPr>
    </w:lvl>
    <w:lvl w:ilvl="8" w:tplc="F1283574">
      <w:start w:val="1"/>
      <w:numFmt w:val="bullet"/>
      <w:lvlText w:val=""/>
      <w:lvlJc w:val="left"/>
      <w:pPr>
        <w:ind w:hanging="360" w:left="6480"/>
      </w:pPr>
      <w:rPr>
        <w:rFonts w:ascii="Wingdings" w:hAnsi="Wingdings" w:hint="default"/>
      </w:rPr>
    </w:lvl>
  </w:abstractNum>
  <w:abstractNum w15:restartNumberingAfterBreak="0" w:abstractNumId="18">
    <w:nsid w:val="4EBF4CAA"/>
    <w:multiLevelType w:val="hybridMultilevel"/>
    <w:tmpl w:val="D9CE7136"/>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19">
    <w:nsid w:val="573B38BF"/>
    <w:multiLevelType w:val="hybridMultilevel"/>
    <w:tmpl w:val="BCB02F9E"/>
    <w:lvl w:ilvl="0" w:tplc="30A46D30">
      <w:start w:val="1"/>
      <w:numFmt w:val="bullet"/>
      <w:lvlText w:val=""/>
      <w:lvlJc w:val="left"/>
      <w:pPr>
        <w:ind w:hanging="360" w:left="720"/>
      </w:pPr>
      <w:rPr>
        <w:rFonts w:ascii="Symbol" w:hAnsi="Symbol" w:hint="default"/>
      </w:rPr>
    </w:lvl>
    <w:lvl w:ilvl="1" w:tplc="37ECE582">
      <w:start w:val="1"/>
      <w:numFmt w:val="bullet"/>
      <w:lvlText w:val="o"/>
      <w:lvlJc w:val="left"/>
      <w:pPr>
        <w:ind w:hanging="360" w:left="1440"/>
      </w:pPr>
      <w:rPr>
        <w:rFonts w:ascii="Courier New" w:hAnsi="Courier New" w:hint="default"/>
      </w:rPr>
    </w:lvl>
    <w:lvl w:ilvl="2" w:tplc="2BC46F48">
      <w:start w:val="1"/>
      <w:numFmt w:val="bullet"/>
      <w:lvlText w:val=""/>
      <w:lvlJc w:val="left"/>
      <w:pPr>
        <w:ind w:hanging="360" w:left="2160"/>
      </w:pPr>
      <w:rPr>
        <w:rFonts w:ascii="Wingdings" w:hAnsi="Wingdings" w:hint="default"/>
      </w:rPr>
    </w:lvl>
    <w:lvl w:ilvl="3" w:tplc="7DE4F91C">
      <w:start w:val="1"/>
      <w:numFmt w:val="bullet"/>
      <w:lvlText w:val=""/>
      <w:lvlJc w:val="left"/>
      <w:pPr>
        <w:ind w:hanging="360" w:left="2880"/>
      </w:pPr>
      <w:rPr>
        <w:rFonts w:ascii="Symbol" w:hAnsi="Symbol" w:hint="default"/>
      </w:rPr>
    </w:lvl>
    <w:lvl w:ilvl="4" w:tplc="7090DB5C">
      <w:start w:val="1"/>
      <w:numFmt w:val="bullet"/>
      <w:lvlText w:val="o"/>
      <w:lvlJc w:val="left"/>
      <w:pPr>
        <w:ind w:hanging="360" w:left="3600"/>
      </w:pPr>
      <w:rPr>
        <w:rFonts w:ascii="Courier New" w:hAnsi="Courier New" w:hint="default"/>
      </w:rPr>
    </w:lvl>
    <w:lvl w:ilvl="5" w:tplc="E43A45F2">
      <w:start w:val="1"/>
      <w:numFmt w:val="bullet"/>
      <w:lvlText w:val=""/>
      <w:lvlJc w:val="left"/>
      <w:pPr>
        <w:ind w:hanging="360" w:left="4320"/>
      </w:pPr>
      <w:rPr>
        <w:rFonts w:ascii="Wingdings" w:hAnsi="Wingdings" w:hint="default"/>
      </w:rPr>
    </w:lvl>
    <w:lvl w:ilvl="6" w:tplc="D3BC85DC">
      <w:start w:val="1"/>
      <w:numFmt w:val="bullet"/>
      <w:lvlText w:val=""/>
      <w:lvlJc w:val="left"/>
      <w:pPr>
        <w:ind w:hanging="360" w:left="5040"/>
      </w:pPr>
      <w:rPr>
        <w:rFonts w:ascii="Symbol" w:hAnsi="Symbol" w:hint="default"/>
      </w:rPr>
    </w:lvl>
    <w:lvl w:ilvl="7" w:tplc="DECE1AF8">
      <w:start w:val="1"/>
      <w:numFmt w:val="bullet"/>
      <w:lvlText w:val="o"/>
      <w:lvlJc w:val="left"/>
      <w:pPr>
        <w:ind w:hanging="360" w:left="5760"/>
      </w:pPr>
      <w:rPr>
        <w:rFonts w:ascii="Courier New" w:hAnsi="Courier New" w:hint="default"/>
      </w:rPr>
    </w:lvl>
    <w:lvl w:ilvl="8" w:tplc="F88CA44C">
      <w:start w:val="1"/>
      <w:numFmt w:val="bullet"/>
      <w:lvlText w:val=""/>
      <w:lvlJc w:val="left"/>
      <w:pPr>
        <w:ind w:hanging="360" w:left="6480"/>
      </w:pPr>
      <w:rPr>
        <w:rFonts w:ascii="Wingdings" w:hAnsi="Wingdings" w:hint="default"/>
      </w:rPr>
    </w:lvl>
  </w:abstractNum>
  <w:abstractNum w15:restartNumberingAfterBreak="0" w:abstractNumId="20">
    <w:nsid w:val="57F63695"/>
    <w:multiLevelType w:val="hybridMultilevel"/>
    <w:tmpl w:val="5680E3D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1">
    <w:nsid w:val="6984BE8D"/>
    <w:multiLevelType w:val="hybridMultilevel"/>
    <w:tmpl w:val="D1427294"/>
    <w:lvl w:ilvl="0" w:tplc="1102CF0A">
      <w:start w:val="1"/>
      <w:numFmt w:val="bullet"/>
      <w:lvlText w:val=""/>
      <w:lvlJc w:val="left"/>
      <w:pPr>
        <w:ind w:hanging="360" w:left="720"/>
      </w:pPr>
      <w:rPr>
        <w:rFonts w:ascii="Symbol" w:hAnsi="Symbol" w:hint="default"/>
      </w:rPr>
    </w:lvl>
    <w:lvl w:ilvl="1" w:tplc="4EEAD3CC">
      <w:start w:val="1"/>
      <w:numFmt w:val="bullet"/>
      <w:lvlText w:val="o"/>
      <w:lvlJc w:val="left"/>
      <w:pPr>
        <w:ind w:hanging="360" w:left="1440"/>
      </w:pPr>
      <w:rPr>
        <w:rFonts w:ascii="Courier New" w:hAnsi="Courier New" w:hint="default"/>
      </w:rPr>
    </w:lvl>
    <w:lvl w:ilvl="2" w:tplc="DF94E2FA">
      <w:start w:val="1"/>
      <w:numFmt w:val="bullet"/>
      <w:lvlText w:val=""/>
      <w:lvlJc w:val="left"/>
      <w:pPr>
        <w:ind w:hanging="360" w:left="2160"/>
      </w:pPr>
      <w:rPr>
        <w:rFonts w:ascii="Wingdings" w:hAnsi="Wingdings" w:hint="default"/>
      </w:rPr>
    </w:lvl>
    <w:lvl w:ilvl="3" w:tplc="103421C6">
      <w:start w:val="1"/>
      <w:numFmt w:val="bullet"/>
      <w:lvlText w:val=""/>
      <w:lvlJc w:val="left"/>
      <w:pPr>
        <w:ind w:hanging="360" w:left="2880"/>
      </w:pPr>
      <w:rPr>
        <w:rFonts w:ascii="Symbol" w:hAnsi="Symbol" w:hint="default"/>
      </w:rPr>
    </w:lvl>
    <w:lvl w:ilvl="4" w:tplc="157CAD12">
      <w:start w:val="1"/>
      <w:numFmt w:val="bullet"/>
      <w:lvlText w:val="o"/>
      <w:lvlJc w:val="left"/>
      <w:pPr>
        <w:ind w:hanging="360" w:left="3600"/>
      </w:pPr>
      <w:rPr>
        <w:rFonts w:ascii="Courier New" w:hAnsi="Courier New" w:hint="default"/>
      </w:rPr>
    </w:lvl>
    <w:lvl w:ilvl="5" w:tplc="021646FC">
      <w:start w:val="1"/>
      <w:numFmt w:val="bullet"/>
      <w:lvlText w:val=""/>
      <w:lvlJc w:val="left"/>
      <w:pPr>
        <w:ind w:hanging="360" w:left="4320"/>
      </w:pPr>
      <w:rPr>
        <w:rFonts w:ascii="Wingdings" w:hAnsi="Wingdings" w:hint="default"/>
      </w:rPr>
    </w:lvl>
    <w:lvl w:ilvl="6" w:tplc="C81C68E8">
      <w:start w:val="1"/>
      <w:numFmt w:val="bullet"/>
      <w:lvlText w:val=""/>
      <w:lvlJc w:val="left"/>
      <w:pPr>
        <w:ind w:hanging="360" w:left="5040"/>
      </w:pPr>
      <w:rPr>
        <w:rFonts w:ascii="Symbol" w:hAnsi="Symbol" w:hint="default"/>
      </w:rPr>
    </w:lvl>
    <w:lvl w:ilvl="7" w:tplc="1C80DBE2">
      <w:start w:val="1"/>
      <w:numFmt w:val="bullet"/>
      <w:lvlText w:val="o"/>
      <w:lvlJc w:val="left"/>
      <w:pPr>
        <w:ind w:hanging="360" w:left="5760"/>
      </w:pPr>
      <w:rPr>
        <w:rFonts w:ascii="Courier New" w:hAnsi="Courier New" w:hint="default"/>
      </w:rPr>
    </w:lvl>
    <w:lvl w:ilvl="8" w:tplc="FE5CC1E6">
      <w:start w:val="1"/>
      <w:numFmt w:val="bullet"/>
      <w:lvlText w:val=""/>
      <w:lvlJc w:val="left"/>
      <w:pPr>
        <w:ind w:hanging="360" w:left="6480"/>
      </w:pPr>
      <w:rPr>
        <w:rFonts w:ascii="Wingdings" w:hAnsi="Wingdings" w:hint="default"/>
      </w:rPr>
    </w:lvl>
  </w:abstractNum>
  <w:abstractNum w15:restartNumberingAfterBreak="0" w:abstractNumId="22">
    <w:nsid w:val="698B5267"/>
    <w:multiLevelType w:val="hybridMultilevel"/>
    <w:tmpl w:val="D59C38A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6A6279EB"/>
    <w:multiLevelType w:val="hybridMultilevel"/>
    <w:tmpl w:val="0832B3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722D6B31"/>
    <w:multiLevelType w:val="hybridMultilevel"/>
    <w:tmpl w:val="05583CFC"/>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5">
    <w:nsid w:val="76321E4C"/>
    <w:multiLevelType w:val="hybridMultilevel"/>
    <w:tmpl w:val="0C2C6F30"/>
    <w:lvl w:ilvl="0" w:tplc="240A0001">
      <w:start w:val="1"/>
      <w:numFmt w:val="bullet"/>
      <w:lvlText w:val=""/>
      <w:lvlJc w:val="left"/>
      <w:pPr>
        <w:ind w:hanging="360" w:left="720"/>
      </w:pPr>
      <w:rPr>
        <w:rFonts w:ascii="Symbol" w:hAnsi="Symbol" w:hint="default"/>
      </w:rPr>
    </w:lvl>
    <w:lvl w:ilvl="1" w:tentative="1" w:tplc="240A0003">
      <w:start w:val="1"/>
      <w:numFmt w:val="bullet"/>
      <w:lvlText w:val="o"/>
      <w:lvlJc w:val="left"/>
      <w:pPr>
        <w:ind w:hanging="360" w:left="1440"/>
      </w:pPr>
      <w:rPr>
        <w:rFonts w:ascii="Courier New" w:cs="Courier New" w:hAnsi="Courier New" w:hint="default"/>
      </w:rPr>
    </w:lvl>
    <w:lvl w:ilvl="2" w:tentative="1" w:tplc="240A0005">
      <w:start w:val="1"/>
      <w:numFmt w:val="bullet"/>
      <w:lvlText w:val=""/>
      <w:lvlJc w:val="left"/>
      <w:pPr>
        <w:ind w:hanging="360" w:left="2160"/>
      </w:pPr>
      <w:rPr>
        <w:rFonts w:ascii="Wingdings" w:hAnsi="Wingdings" w:hint="default"/>
      </w:rPr>
    </w:lvl>
    <w:lvl w:ilvl="3" w:tentative="1" w:tplc="240A0001">
      <w:start w:val="1"/>
      <w:numFmt w:val="bullet"/>
      <w:lvlText w:val=""/>
      <w:lvlJc w:val="left"/>
      <w:pPr>
        <w:ind w:hanging="360" w:left="2880"/>
      </w:pPr>
      <w:rPr>
        <w:rFonts w:ascii="Symbol" w:hAnsi="Symbol" w:hint="default"/>
      </w:rPr>
    </w:lvl>
    <w:lvl w:ilvl="4" w:tentative="1" w:tplc="240A0003">
      <w:start w:val="1"/>
      <w:numFmt w:val="bullet"/>
      <w:lvlText w:val="o"/>
      <w:lvlJc w:val="left"/>
      <w:pPr>
        <w:ind w:hanging="360" w:left="3600"/>
      </w:pPr>
      <w:rPr>
        <w:rFonts w:ascii="Courier New" w:cs="Courier New" w:hAnsi="Courier New" w:hint="default"/>
      </w:rPr>
    </w:lvl>
    <w:lvl w:ilvl="5" w:tentative="1" w:tplc="240A0005">
      <w:start w:val="1"/>
      <w:numFmt w:val="bullet"/>
      <w:lvlText w:val=""/>
      <w:lvlJc w:val="left"/>
      <w:pPr>
        <w:ind w:hanging="360" w:left="4320"/>
      </w:pPr>
      <w:rPr>
        <w:rFonts w:ascii="Wingdings" w:hAnsi="Wingdings" w:hint="default"/>
      </w:rPr>
    </w:lvl>
    <w:lvl w:ilvl="6" w:tentative="1" w:tplc="240A0001">
      <w:start w:val="1"/>
      <w:numFmt w:val="bullet"/>
      <w:lvlText w:val=""/>
      <w:lvlJc w:val="left"/>
      <w:pPr>
        <w:ind w:hanging="360" w:left="5040"/>
      </w:pPr>
      <w:rPr>
        <w:rFonts w:ascii="Symbol" w:hAnsi="Symbol" w:hint="default"/>
      </w:rPr>
    </w:lvl>
    <w:lvl w:ilvl="7" w:tentative="1" w:tplc="240A0003">
      <w:start w:val="1"/>
      <w:numFmt w:val="bullet"/>
      <w:lvlText w:val="o"/>
      <w:lvlJc w:val="left"/>
      <w:pPr>
        <w:ind w:hanging="360" w:left="5760"/>
      </w:pPr>
      <w:rPr>
        <w:rFonts w:ascii="Courier New" w:cs="Courier New" w:hAnsi="Courier New" w:hint="default"/>
      </w:rPr>
    </w:lvl>
    <w:lvl w:ilvl="8" w:tentative="1" w:tplc="240A0005">
      <w:start w:val="1"/>
      <w:numFmt w:val="bullet"/>
      <w:lvlText w:val=""/>
      <w:lvlJc w:val="left"/>
      <w:pPr>
        <w:ind w:hanging="360" w:left="6480"/>
      </w:pPr>
      <w:rPr>
        <w:rFonts w:ascii="Wingdings" w:hAnsi="Wingdings" w:hint="default"/>
      </w:rPr>
    </w:lvl>
  </w:abstractNum>
  <w:abstractNum w15:restartNumberingAfterBreak="0" w:abstractNumId="26">
    <w:nsid w:val="7ED74F24"/>
    <w:multiLevelType w:val="hybridMultilevel"/>
    <w:tmpl w:val="CB2ABA2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9"/>
  </w:num>
  <w:num w:numId="3">
    <w:abstractNumId w:val="19"/>
  </w:num>
  <w:num w:numId="4">
    <w:abstractNumId w:val="1"/>
  </w:num>
  <w:num w:numId="5">
    <w:abstractNumId w:val="21"/>
  </w:num>
  <w:num w:numId="6">
    <w:abstractNumId w:val="17"/>
  </w:num>
  <w:num w:numId="7">
    <w:abstractNumId w:val="7"/>
  </w:num>
  <w:num w:numId="8">
    <w:abstractNumId w:val="3"/>
  </w:num>
  <w:num w:numId="9">
    <w:abstractNumId w:val="10"/>
  </w:num>
  <w:num w:numId="10">
    <w:abstractNumId w:val="14"/>
  </w:num>
  <w:num w:numId="11">
    <w:abstractNumId w:val="18"/>
  </w:num>
  <w:num w:numId="12">
    <w:abstractNumId w:val="4"/>
  </w:num>
  <w:num w:numId="13">
    <w:abstractNumId w:val="24"/>
  </w:num>
  <w:num w:numId="14">
    <w:abstractNumId w:val="25"/>
  </w:num>
  <w:num w:numId="15">
    <w:abstractNumId w:val="13"/>
  </w:num>
  <w:num w:numId="16">
    <w:abstractNumId w:val="6"/>
  </w:num>
  <w:num w:numId="17">
    <w:abstractNumId w:val="11"/>
  </w:num>
  <w:num w:numId="18">
    <w:abstractNumId w:val="0"/>
  </w:num>
  <w:num w:numId="19">
    <w:abstractNumId w:val="20"/>
  </w:num>
  <w:num w:numId="20">
    <w:abstractNumId w:val="15"/>
  </w:num>
  <w:num w:numId="21">
    <w:abstractNumId w:val="16"/>
  </w:num>
  <w:num w:numId="22">
    <w:abstractNumId w:val="5"/>
  </w:num>
  <w:num w:numId="23">
    <w:abstractNumId w:val="22"/>
  </w:num>
  <w:num w:numId="24">
    <w:abstractNumId w:val="2"/>
  </w:num>
  <w:num w:numId="25">
    <w:abstractNumId w:val="26"/>
  </w:num>
  <w:num w:numId="26">
    <w:abstractNumId w:val="23"/>
  </w:num>
  <w:num w:numId="27">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60"/>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3D8"/>
    <w:rsid w:val="000C60C3"/>
    <w:rsid w:val="002E635F"/>
    <w:rsid w:val="004863D8"/>
    <w:rsid w:val="00620017"/>
    <w:rsid w:val="006E5286"/>
    <w:rsid w:val="008651C5"/>
    <w:rsid w:val="008F1ECD"/>
    <w:rsid w:val="0092599A"/>
    <w:rsid w:val="00F149A0"/>
    <w:rsid w:val="00F20066"/>
    <w:rsid w:val="00F62FEC"/>
    <w:rsid w:val="00FF5413"/>
    <w:rsid w:val="5206A4D4"/>
  </w:rsids>
  <w:themeFontLang w:eastAsia="zh-CN" w:val="es-CO"/>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kern w:val="2"/>
        <w:sz w:val="22"/>
        <w:szCs w:val="22"/>
        <w:lang w:bidi="ar-SA" w:eastAsia="en-US" w:val="es"/>
        <w14:ligatures w14:val="standardContextual"/>
      </w:rPr>
    </w:rPrDefault>
    <w:pPrDefault>
      <w:pPr>
        <w:spacing w:after="120" w:before="120" w:line="276"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863D8"/>
  </w:style>
  <w:style w:styleId="Heading1" w:type="paragraph">
    <w:name w:val="heading 1"/>
    <w:basedOn w:val="Normal"/>
    <w:next w:val="Normal"/>
    <w:link w:val="Heading1Char"/>
    <w:uiPriority w:val="9"/>
    <w:qFormat/>
    <w:rsid w:val="004863D8"/>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4863D8"/>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4863D8"/>
    <w:pPr>
      <w:keepNext/>
      <w:keepLines/>
      <w:spacing w:after="0" w:before="40"/>
      <w:outlineLvl w:val="2"/>
    </w:pPr>
    <w:rPr>
      <w:rFonts w:asciiTheme="majorHAnsi" w:cstheme="majorBidi" w:eastAsiaTheme="majorEastAsia" w:hAnsiTheme="majorHAnsi"/>
      <w:color w:themeColor="accent1" w:themeShade="7F" w:val="1F3763"/>
      <w:sz w:val="24"/>
      <w:szCs w:val="24"/>
    </w:rPr>
  </w:style>
  <w:style w:styleId="Heading4" w:type="paragraph">
    <w:name w:val="heading 4"/>
    <w:basedOn w:val="Normal"/>
    <w:next w:val="Normal"/>
    <w:link w:val="Heading4Char"/>
    <w:uiPriority w:val="9"/>
    <w:unhideWhenUsed/>
    <w:qFormat/>
    <w:rsid w:val="004863D8"/>
    <w:pPr>
      <w:keepNext/>
      <w:keepLines/>
      <w:spacing w:after="0" w:before="80" w:line="288" w:lineRule="auto"/>
      <w:outlineLvl w:val="3"/>
    </w:pPr>
    <w:rPr>
      <w:rFonts w:asciiTheme="majorHAnsi" w:cstheme="majorBidi" w:eastAsiaTheme="majorEastAsia" w:hAnsiTheme="majorHAnsi"/>
      <w:color w:themeColor="accent6" w:val="70AD47"/>
      <w:kern w:val="0"/>
      <w:lang w:eastAsia="zh-CN"/>
      <w14:ligatures w14:val="none"/>
    </w:rPr>
  </w:style>
  <w:style w:styleId="Heading5" w:type="paragraph">
    <w:name w:val="heading 5"/>
    <w:basedOn w:val="Normal"/>
    <w:next w:val="Normal"/>
    <w:link w:val="Heading5Char"/>
    <w:uiPriority w:val="9"/>
    <w:unhideWhenUsed/>
    <w:qFormat/>
    <w:rsid w:val="004863D8"/>
    <w:pPr>
      <w:keepNext/>
      <w:keepLines/>
      <w:spacing w:after="0" w:before="40" w:line="288" w:lineRule="auto"/>
      <w:outlineLvl w:val="4"/>
    </w:pPr>
    <w:rPr>
      <w:rFonts w:asciiTheme="majorHAnsi" w:cstheme="majorBidi" w:eastAsiaTheme="majorEastAsia" w:hAnsiTheme="majorHAnsi"/>
      <w:i/>
      <w:iCs/>
      <w:color w:themeColor="accent6" w:val="70AD47"/>
      <w:kern w:val="0"/>
      <w:lang w:eastAsia="zh-CN"/>
      <w14:ligatures w14:val="none"/>
    </w:rPr>
  </w:style>
  <w:style w:styleId="Heading6" w:type="paragraph">
    <w:name w:val="heading 6"/>
    <w:basedOn w:val="Normal"/>
    <w:next w:val="Normal"/>
    <w:link w:val="Heading6Char"/>
    <w:uiPriority w:val="9"/>
    <w:semiHidden/>
    <w:unhideWhenUsed/>
    <w:qFormat/>
    <w:rsid w:val="004863D8"/>
    <w:pPr>
      <w:keepNext/>
      <w:keepLines/>
      <w:spacing w:after="0" w:before="40" w:line="288" w:lineRule="auto"/>
      <w:outlineLvl w:val="5"/>
    </w:pPr>
    <w:rPr>
      <w:rFonts w:asciiTheme="majorHAnsi" w:cstheme="majorBidi" w:eastAsiaTheme="majorEastAsia" w:hAnsiTheme="majorHAnsi"/>
      <w:color w:themeColor="accent6" w:val="70AD47"/>
      <w:kern w:val="0"/>
      <w:sz w:val="21"/>
      <w:szCs w:val="21"/>
      <w:lang w:eastAsia="zh-CN"/>
      <w14:ligatures w14:val="none"/>
    </w:rPr>
  </w:style>
  <w:style w:styleId="Heading7" w:type="paragraph">
    <w:name w:val="heading 7"/>
    <w:basedOn w:val="Normal"/>
    <w:next w:val="Normal"/>
    <w:link w:val="Heading7Char"/>
    <w:uiPriority w:val="9"/>
    <w:semiHidden/>
    <w:unhideWhenUsed/>
    <w:qFormat/>
    <w:rsid w:val="004863D8"/>
    <w:pPr>
      <w:keepNext/>
      <w:keepLines/>
      <w:spacing w:after="0" w:before="40" w:line="288" w:lineRule="auto"/>
      <w:outlineLvl w:val="6"/>
    </w:pPr>
    <w:rPr>
      <w:rFonts w:asciiTheme="majorHAnsi" w:cstheme="majorBidi" w:eastAsiaTheme="majorEastAsia" w:hAnsiTheme="majorHAnsi"/>
      <w:b/>
      <w:bCs/>
      <w:color w:themeColor="accent6" w:val="70AD47"/>
      <w:kern w:val="0"/>
      <w:sz w:val="21"/>
      <w:szCs w:val="21"/>
      <w:lang w:eastAsia="zh-CN"/>
      <w14:ligatures w14:val="none"/>
    </w:rPr>
  </w:style>
  <w:style w:styleId="Heading8" w:type="paragraph">
    <w:name w:val="heading 8"/>
    <w:basedOn w:val="Normal"/>
    <w:next w:val="Normal"/>
    <w:link w:val="Heading8Char"/>
    <w:uiPriority w:val="9"/>
    <w:semiHidden/>
    <w:unhideWhenUsed/>
    <w:qFormat/>
    <w:rsid w:val="004863D8"/>
    <w:pPr>
      <w:keepNext/>
      <w:keepLines/>
      <w:spacing w:after="0" w:before="40" w:line="288" w:lineRule="auto"/>
      <w:outlineLvl w:val="7"/>
    </w:pPr>
    <w:rPr>
      <w:rFonts w:asciiTheme="majorHAnsi" w:cstheme="majorBidi" w:eastAsiaTheme="majorEastAsia" w:hAnsiTheme="majorHAnsi"/>
      <w:b/>
      <w:bCs/>
      <w:i/>
      <w:iCs/>
      <w:color w:themeColor="accent6" w:val="70AD47"/>
      <w:kern w:val="0"/>
      <w:sz w:val="20"/>
      <w:szCs w:val="20"/>
      <w:lang w:eastAsia="zh-CN"/>
      <w14:ligatures w14:val="none"/>
    </w:rPr>
  </w:style>
  <w:style w:styleId="Heading9" w:type="paragraph">
    <w:name w:val="heading 9"/>
    <w:basedOn w:val="Normal"/>
    <w:next w:val="Normal"/>
    <w:link w:val="Heading9Char"/>
    <w:uiPriority w:val="9"/>
    <w:semiHidden/>
    <w:unhideWhenUsed/>
    <w:qFormat/>
    <w:rsid w:val="004863D8"/>
    <w:pPr>
      <w:keepNext/>
      <w:keepLines/>
      <w:spacing w:after="0" w:before="40" w:line="288" w:lineRule="auto"/>
      <w:outlineLvl w:val="8"/>
    </w:pPr>
    <w:rPr>
      <w:rFonts w:asciiTheme="majorHAnsi" w:cstheme="majorBidi" w:eastAsiaTheme="majorEastAsia" w:hAnsiTheme="majorHAnsi"/>
      <w:i/>
      <w:iCs/>
      <w:color w:themeColor="accent6" w:val="70AD47"/>
      <w:kern w:val="0"/>
      <w:sz w:val="20"/>
      <w:szCs w:val="20"/>
      <w:lang w:eastAsia="zh-CN"/>
      <w14:ligatures w14:val="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4863D8"/>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4863D8"/>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4863D8"/>
    <w:rPr>
      <w:rFonts w:asciiTheme="majorHAnsi" w:cstheme="majorBidi" w:eastAsiaTheme="majorEastAsia" w:hAnsiTheme="majorHAnsi"/>
      <w:color w:themeColor="accent1" w:themeShade="7F" w:val="1F3763"/>
      <w:sz w:val="24"/>
      <w:szCs w:val="24"/>
    </w:rPr>
  </w:style>
  <w:style w:customStyle="1" w:styleId="Heading4Char" w:type="character">
    <w:name w:val="Heading 4 Char"/>
    <w:link w:val="Heading4"/>
    <w:uiPriority w:val="9"/>
    <w:rsid w:val="004863D8"/>
    <w:rPr>
      <w:rFonts w:asciiTheme="majorHAnsi" w:cstheme="majorBidi" w:eastAsiaTheme="majorEastAsia" w:hAnsiTheme="majorHAnsi"/>
      <w:color w:themeColor="accent6" w:val="70AD47"/>
      <w:kern w:val="0"/>
      <w:lang w:eastAsia="zh-CN"/>
      <w14:ligatures w14:val="none"/>
    </w:rPr>
  </w:style>
  <w:style w:customStyle="1" w:styleId="Heading5Char" w:type="character">
    <w:name w:val="Heading 5 Char"/>
    <w:link w:val="Heading5"/>
    <w:uiPriority w:val="9"/>
    <w:rsid w:val="004863D8"/>
    <w:rPr>
      <w:rFonts w:asciiTheme="majorHAnsi" w:cstheme="majorBidi" w:eastAsiaTheme="majorEastAsia" w:hAnsiTheme="majorHAnsi"/>
      <w:i/>
      <w:iCs/>
      <w:color w:themeColor="accent6" w:val="70AD47"/>
      <w:kern w:val="0"/>
      <w:lang w:eastAsia="zh-CN"/>
      <w14:ligatures w14:val="none"/>
    </w:rPr>
  </w:style>
  <w:style w:customStyle="1" w:styleId="Heading6Char" w:type="character">
    <w:name w:val="Heading 6 Char"/>
    <w:link w:val="Heading6"/>
    <w:uiPriority w:val="9"/>
    <w:semiHidden/>
    <w:rsid w:val="004863D8"/>
    <w:rPr>
      <w:rFonts w:asciiTheme="majorHAnsi" w:cstheme="majorBidi" w:eastAsiaTheme="majorEastAsia" w:hAnsiTheme="majorHAnsi"/>
      <w:color w:themeColor="accent6" w:val="70AD47"/>
      <w:kern w:val="0"/>
      <w:sz w:val="21"/>
      <w:szCs w:val="21"/>
      <w:lang w:eastAsia="zh-CN"/>
      <w14:ligatures w14:val="none"/>
    </w:rPr>
  </w:style>
  <w:style w:customStyle="1" w:styleId="Heading7Char" w:type="character">
    <w:name w:val="Heading 7 Char"/>
    <w:link w:val="Heading7"/>
    <w:uiPriority w:val="9"/>
    <w:semiHidden/>
    <w:rsid w:val="004863D8"/>
    <w:rPr>
      <w:rFonts w:asciiTheme="majorHAnsi" w:cstheme="majorBidi" w:eastAsiaTheme="majorEastAsia" w:hAnsiTheme="majorHAnsi"/>
      <w:b/>
      <w:bCs/>
      <w:color w:themeColor="accent6" w:val="70AD47"/>
      <w:kern w:val="0"/>
      <w:sz w:val="21"/>
      <w:szCs w:val="21"/>
      <w:lang w:eastAsia="zh-CN"/>
      <w14:ligatures w14:val="none"/>
    </w:rPr>
  </w:style>
  <w:style w:customStyle="1" w:styleId="Heading8Char" w:type="character">
    <w:name w:val="Heading 8 Char"/>
    <w:link w:val="Heading8"/>
    <w:uiPriority w:val="9"/>
    <w:semiHidden/>
    <w:rsid w:val="004863D8"/>
    <w:rPr>
      <w:rFonts w:asciiTheme="majorHAnsi" w:cstheme="majorBidi" w:eastAsiaTheme="majorEastAsia" w:hAnsiTheme="majorHAnsi"/>
      <w:b/>
      <w:bCs/>
      <w:i/>
      <w:iCs/>
      <w:color w:themeColor="accent6" w:val="70AD47"/>
      <w:kern w:val="0"/>
      <w:sz w:val="20"/>
      <w:szCs w:val="20"/>
      <w:lang w:eastAsia="zh-CN"/>
      <w14:ligatures w14:val="none"/>
    </w:rPr>
  </w:style>
  <w:style w:customStyle="1" w:styleId="Heading9Char" w:type="character">
    <w:name w:val="Heading 9 Char"/>
    <w:link w:val="Heading9"/>
    <w:uiPriority w:val="9"/>
    <w:semiHidden/>
    <w:rsid w:val="004863D8"/>
    <w:rPr>
      <w:rFonts w:asciiTheme="majorHAnsi" w:cstheme="majorBidi" w:eastAsiaTheme="majorEastAsia" w:hAnsiTheme="majorHAnsi"/>
      <w:i/>
      <w:iCs/>
      <w:color w:themeColor="accent6" w:val="70AD47"/>
      <w:kern w:val="0"/>
      <w:sz w:val="20"/>
      <w:szCs w:val="20"/>
      <w:lang w:eastAsia="zh-CN"/>
      <w14:ligatures w14:val="none"/>
    </w:rPr>
  </w:style>
  <w:style w:customStyle="1" w:styleId="Ttulo4Car" w:type="character">
    <w:name w:val="Título 4 Car"/>
    <w:basedOn w:val="DefaultParagraphFont"/>
    <w:uiPriority w:val="9"/>
    <w:semiHidden/>
    <w:rsid w:val="004863D8"/>
    <w:rPr>
      <w:rFonts w:asciiTheme="majorHAnsi" w:cstheme="majorBidi" w:eastAsiaTheme="majorEastAsia" w:hAnsiTheme="majorHAnsi"/>
      <w:i/>
      <w:iCs/>
      <w:color w:themeColor="accent1" w:themeShade="BF" w:val="2F5496"/>
    </w:rPr>
  </w:style>
  <w:style w:customStyle="1" w:styleId="Ttulo5Car" w:type="character">
    <w:name w:val="Título 5 Car"/>
    <w:basedOn w:val="DefaultParagraphFont"/>
    <w:uiPriority w:val="9"/>
    <w:semiHidden/>
    <w:rsid w:val="004863D8"/>
    <w:rPr>
      <w:rFonts w:asciiTheme="majorHAnsi" w:cstheme="majorBidi" w:eastAsiaTheme="majorEastAsia" w:hAnsiTheme="majorHAnsi"/>
      <w:color w:themeColor="accent1" w:themeShade="BF" w:val="2F5496"/>
    </w:rPr>
  </w:style>
  <w:style w:customStyle="1" w:styleId="Ttulo6Car" w:type="character">
    <w:name w:val="Título 6 Car"/>
    <w:basedOn w:val="DefaultParagraphFont"/>
    <w:uiPriority w:val="9"/>
    <w:semiHidden/>
    <w:rsid w:val="004863D8"/>
    <w:rPr>
      <w:rFonts w:asciiTheme="majorHAnsi" w:cstheme="majorBidi" w:eastAsiaTheme="majorEastAsia" w:hAnsiTheme="majorHAnsi"/>
      <w:color w:themeColor="accent1" w:themeShade="7F" w:val="1F3763"/>
    </w:rPr>
  </w:style>
  <w:style w:customStyle="1" w:styleId="Ttulo7Car" w:type="character">
    <w:name w:val="Título 7 Car"/>
    <w:basedOn w:val="DefaultParagraphFont"/>
    <w:uiPriority w:val="9"/>
    <w:semiHidden/>
    <w:rsid w:val="004863D8"/>
    <w:rPr>
      <w:rFonts w:asciiTheme="majorHAnsi" w:cstheme="majorBidi" w:eastAsiaTheme="majorEastAsia" w:hAnsiTheme="majorHAnsi"/>
      <w:i/>
      <w:iCs/>
      <w:color w:themeColor="accent1" w:themeShade="7F" w:val="1F3763"/>
    </w:rPr>
  </w:style>
  <w:style w:customStyle="1" w:styleId="Ttulo8Car" w:type="character">
    <w:name w:val="Título 8 Car"/>
    <w:basedOn w:val="DefaultParagraphFont"/>
    <w:uiPriority w:val="9"/>
    <w:semiHidden/>
    <w:rsid w:val="004863D8"/>
    <w:rPr>
      <w:rFonts w:asciiTheme="majorHAnsi" w:cstheme="majorBidi" w:eastAsiaTheme="majorEastAsia" w:hAnsiTheme="majorHAnsi"/>
      <w:color w:themeColor="text1" w:themeTint="D8" w:val="272727"/>
      <w:sz w:val="21"/>
      <w:szCs w:val="21"/>
    </w:rPr>
  </w:style>
  <w:style w:customStyle="1" w:styleId="Ttulo9Car" w:type="character">
    <w:name w:val="Título 9 Car"/>
    <w:basedOn w:val="DefaultParagraphFont"/>
    <w:uiPriority w:val="9"/>
    <w:semiHidden/>
    <w:rsid w:val="004863D8"/>
    <w:rPr>
      <w:rFonts w:asciiTheme="majorHAnsi" w:cstheme="majorBidi" w:eastAsiaTheme="majorEastAsia" w:hAnsiTheme="majorHAnsi"/>
      <w:i/>
      <w:iCs/>
      <w:color w:themeColor="text1" w:themeTint="D8" w:val="272727"/>
      <w:sz w:val="21"/>
      <w:szCs w:val="21"/>
    </w:rPr>
  </w:style>
  <w:style w:styleId="ListParagraph" w:type="paragraph">
    <w:name w:val="List Paragraph"/>
    <w:basedOn w:val="Normal"/>
    <w:uiPriority w:val="34"/>
    <w:qFormat/>
    <w:rsid w:val="004863D8"/>
    <w:pPr>
      <w:ind w:left="720"/>
      <w:contextualSpacing/>
    </w:pPr>
  </w:style>
  <w:style w:customStyle="1" w:styleId="normaltextrun" w:type="character">
    <w:name w:val="normaltextrun"/>
    <w:basedOn w:val="DefaultParagraphFont"/>
    <w:rsid w:val="004863D8"/>
  </w:style>
  <w:style w:customStyle="1" w:styleId="apple-converted-space" w:type="character">
    <w:name w:val="apple-converted-space"/>
    <w:basedOn w:val="DefaultParagraphFont"/>
    <w:rsid w:val="004863D8"/>
  </w:style>
  <w:style w:styleId="Strong" w:type="character">
    <w:name w:val="Strong"/>
    <w:basedOn w:val="DefaultParagraphFont"/>
    <w:uiPriority w:val="22"/>
    <w:qFormat/>
    <w:rsid w:val="004863D8"/>
    <w:rPr>
      <w:b/>
      <w:bCs/>
    </w:rPr>
  </w:style>
  <w:style w:styleId="NormalWeb" w:type="paragraph">
    <w:name w:val="Normal (Web)"/>
    <w:basedOn w:val="Normal"/>
    <w:uiPriority w:val="99"/>
    <w:semiHidden/>
    <w:unhideWhenUsed/>
    <w:rsid w:val="004863D8"/>
    <w:pPr>
      <w:spacing w:after="100" w:afterAutospacing="1" w:before="100" w:beforeAutospacing="1" w:line="240" w:lineRule="auto"/>
    </w:pPr>
    <w:rPr>
      <w:rFonts w:ascii="Times New Roman" w:cs="Times New Roman" w:eastAsia="Times New Roman" w:hAnsi="Times New Roman"/>
      <w:kern w:val="0"/>
      <w:sz w:val="24"/>
      <w:szCs w:val="24"/>
      <w:lang w:eastAsia="es-MX"/>
      <w14:ligatures w14:val="none"/>
    </w:rPr>
  </w:style>
  <w:style w:customStyle="1" w:styleId="Default" w:type="paragraph">
    <w:name w:val="Default"/>
    <w:rsid w:val="004863D8"/>
    <w:pPr>
      <w:autoSpaceDE w:val="0"/>
      <w:autoSpaceDN w:val="0"/>
      <w:adjustRightInd w:val="0"/>
      <w:spacing w:after="0" w:line="240" w:lineRule="auto"/>
    </w:pPr>
    <w:rPr>
      <w:rFonts w:ascii="Inter" w:cs="Inter" w:hAnsi="Inter"/>
      <w:color w:val="000000"/>
      <w:kern w:val="0"/>
      <w:sz w:val="24"/>
      <w:szCs w:val="24"/>
    </w:rPr>
  </w:style>
  <w:style w:styleId="TOCHeading" w:type="paragraph">
    <w:name w:val="TOC Heading"/>
    <w:basedOn w:val="Heading1"/>
    <w:next w:val="Normal"/>
    <w:uiPriority w:val="39"/>
    <w:unhideWhenUsed/>
    <w:qFormat/>
    <w:rsid w:val="004863D8"/>
    <w:pPr>
      <w:outlineLvl w:val="9"/>
    </w:pPr>
    <w:rPr>
      <w:kern w:val="0"/>
      <w:lang w:eastAsia="es-CO"/>
      <w14:ligatures w14:val="none"/>
    </w:rPr>
  </w:style>
  <w:style w:styleId="TOC1" w:type="paragraph">
    <w:name w:val="toc 1"/>
    <w:basedOn w:val="Normal"/>
    <w:next w:val="Normal"/>
    <w:autoRedefine/>
    <w:uiPriority w:val="39"/>
    <w:unhideWhenUsed/>
    <w:rsid w:val="004863D8"/>
    <w:pPr>
      <w:spacing w:after="100"/>
    </w:pPr>
  </w:style>
  <w:style w:styleId="TOC2" w:type="paragraph">
    <w:name w:val="toc 2"/>
    <w:basedOn w:val="Normal"/>
    <w:next w:val="Normal"/>
    <w:autoRedefine/>
    <w:uiPriority w:val="39"/>
    <w:unhideWhenUsed/>
    <w:rsid w:val="004863D8"/>
    <w:pPr>
      <w:spacing w:after="100"/>
      <w:ind w:left="220"/>
    </w:pPr>
  </w:style>
  <w:style w:styleId="TOC3" w:type="paragraph">
    <w:name w:val="toc 3"/>
    <w:basedOn w:val="Normal"/>
    <w:next w:val="Normal"/>
    <w:autoRedefine/>
    <w:uiPriority w:val="39"/>
    <w:unhideWhenUsed/>
    <w:rsid w:val="004863D8"/>
    <w:pPr>
      <w:spacing w:after="100"/>
      <w:ind w:left="440"/>
    </w:pPr>
  </w:style>
  <w:style w:styleId="Hyperlink" w:type="character">
    <w:name w:val="Hyperlink"/>
    <w:basedOn w:val="DefaultParagraphFont"/>
    <w:uiPriority w:val="99"/>
    <w:unhideWhenUsed/>
    <w:rsid w:val="004863D8"/>
    <w:rPr>
      <w:color w:themeColor="hyperlink" w:val="0563C1"/>
      <w:u w:val="single"/>
    </w:rPr>
  </w:style>
  <w:style w:styleId="FootnoteText" w:type="paragraph">
    <w:name w:val="footnote text"/>
    <w:basedOn w:val="Normal"/>
    <w:link w:val="FootnoteTextChar"/>
    <w:uiPriority w:val="99"/>
    <w:unhideWhenUsed/>
    <w:rsid w:val="004863D8"/>
    <w:pPr>
      <w:spacing w:after="0" w:line="240" w:lineRule="auto"/>
    </w:pPr>
    <w:rPr>
      <w:sz w:val="20"/>
      <w:szCs w:val="20"/>
    </w:rPr>
  </w:style>
  <w:style w:customStyle="1" w:styleId="FootnoteTextChar" w:type="character">
    <w:name w:val="Footnote Text Char"/>
    <w:basedOn w:val="DefaultParagraphFont"/>
    <w:link w:val="FootnoteText"/>
    <w:uiPriority w:val="99"/>
    <w:rsid w:val="004863D8"/>
    <w:rPr>
      <w:sz w:val="20"/>
      <w:szCs w:val="20"/>
    </w:rPr>
  </w:style>
  <w:style w:styleId="FootnoteReference" w:type="character">
    <w:name w:val="footnote reference"/>
    <w:basedOn w:val="DefaultParagraphFont"/>
    <w:uiPriority w:val="99"/>
    <w:semiHidden/>
    <w:unhideWhenUsed/>
    <w:rsid w:val="004863D8"/>
    <w:rPr>
      <w:vertAlign w:val="superscript"/>
    </w:rPr>
  </w:style>
  <w:style w:styleId="TableGrid" w:type="table">
    <w:name w:val="Table Grid"/>
    <w:basedOn w:val="TableNormal"/>
    <w:uiPriority w:val="59"/>
    <w:rsid w:val="004863D8"/>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1"/>
    <w:uiPriority w:val="99"/>
    <w:unhideWhenUsed/>
    <w:rsid w:val="004863D8"/>
    <w:pPr>
      <w:spacing w:line="240" w:lineRule="auto"/>
    </w:pPr>
    <w:rPr>
      <w:sz w:val="20"/>
      <w:szCs w:val="20"/>
    </w:rPr>
  </w:style>
  <w:style w:customStyle="1" w:styleId="CommentTextChar1" w:type="character">
    <w:name w:val="Comment Text Char1"/>
    <w:basedOn w:val="DefaultParagraphFont"/>
    <w:link w:val="CommentText"/>
    <w:uiPriority w:val="99"/>
    <w:rsid w:val="004863D8"/>
    <w:rPr>
      <w:sz w:val="20"/>
      <w:szCs w:val="20"/>
    </w:rPr>
  </w:style>
  <w:style w:styleId="CommentReference" w:type="character">
    <w:name w:val="annotation reference"/>
    <w:basedOn w:val="DefaultParagraphFont"/>
    <w:uiPriority w:val="99"/>
    <w:semiHidden/>
    <w:unhideWhenUsed/>
    <w:rsid w:val="004863D8"/>
    <w:rPr>
      <w:sz w:val="16"/>
      <w:szCs w:val="16"/>
    </w:rPr>
  </w:style>
  <w:style w:styleId="Header" w:type="paragraph">
    <w:name w:val="header"/>
    <w:basedOn w:val="Normal"/>
    <w:link w:val="HeaderChar"/>
    <w:uiPriority w:val="99"/>
    <w:unhideWhenUsed/>
    <w:rsid w:val="004863D8"/>
    <w:pPr>
      <w:tabs>
        <w:tab w:pos="4680" w:val="center"/>
        <w:tab w:pos="9360" w:val="right"/>
      </w:tabs>
      <w:spacing w:after="0" w:line="240" w:lineRule="auto"/>
    </w:pPr>
  </w:style>
  <w:style w:customStyle="1" w:styleId="HeaderChar" w:type="character">
    <w:name w:val="Header Char"/>
    <w:basedOn w:val="DefaultParagraphFont"/>
    <w:link w:val="Header"/>
    <w:uiPriority w:val="99"/>
    <w:rsid w:val="004863D8"/>
  </w:style>
  <w:style w:styleId="Footer" w:type="paragraph">
    <w:name w:val="footer"/>
    <w:basedOn w:val="Normal"/>
    <w:link w:val="FooterChar"/>
    <w:uiPriority w:val="99"/>
    <w:unhideWhenUsed/>
    <w:rsid w:val="004863D8"/>
    <w:pPr>
      <w:tabs>
        <w:tab w:pos="4680" w:val="center"/>
        <w:tab w:pos="9360" w:val="right"/>
      </w:tabs>
      <w:spacing w:after="0" w:line="240" w:lineRule="auto"/>
    </w:pPr>
  </w:style>
  <w:style w:customStyle="1" w:styleId="FooterChar" w:type="character">
    <w:name w:val="Footer Char"/>
    <w:basedOn w:val="DefaultParagraphFont"/>
    <w:link w:val="Footer"/>
    <w:uiPriority w:val="99"/>
    <w:rsid w:val="004863D8"/>
  </w:style>
  <w:style w:styleId="Caption" w:type="paragraph">
    <w:name w:val="caption"/>
    <w:basedOn w:val="Normal"/>
    <w:next w:val="Normal"/>
    <w:uiPriority w:val="35"/>
    <w:unhideWhenUsed/>
    <w:qFormat/>
    <w:rsid w:val="004863D8"/>
    <w:pPr>
      <w:spacing w:after="200" w:line="240" w:lineRule="auto"/>
    </w:pPr>
    <w:rPr>
      <w:i/>
      <w:iCs/>
      <w:color w:themeColor="text2" w:val="44546A"/>
      <w:sz w:val="18"/>
      <w:szCs w:val="18"/>
    </w:rPr>
  </w:style>
  <w:style w:customStyle="1" w:styleId="Normal0" w:type="paragraph">
    <w:name w:val="Normal0"/>
    <w:aliases w:val="Texto corrido"/>
    <w:qFormat/>
    <w:rsid w:val="004863D8"/>
    <w:pPr>
      <w:overflowPunct w:val="0"/>
      <w:autoSpaceDE w:val="0"/>
      <w:autoSpaceDN w:val="0"/>
      <w:adjustRightInd w:val="0"/>
      <w:spacing w:after="0" w:line="240" w:lineRule="auto"/>
      <w:textAlignment w:val="baseline"/>
    </w:pPr>
    <w:rPr>
      <w:rFonts w:ascii="Arial Narrow" w:cs="Times New Roman" w:eastAsia="Times New Roman" w:hAnsi="Arial Narrow"/>
      <w:color w:themeColor="text1" w:themeTint="BF" w:val="404040"/>
      <w:kern w:val="0"/>
      <w:sz w:val="21"/>
      <w:szCs w:val="20"/>
      <w:lang w:eastAsia="es-MX" w:val="es-ES_tradnl"/>
      <w14:ligatures w14:val="none"/>
    </w:rPr>
  </w:style>
  <w:style w:styleId="Title" w:type="paragraph">
    <w:name w:val="Title"/>
    <w:basedOn w:val="Normal"/>
    <w:next w:val="Normal"/>
    <w:link w:val="TitleChar"/>
    <w:uiPriority w:val="10"/>
    <w:qFormat/>
    <w:rsid w:val="004863D8"/>
    <w:pPr>
      <w:spacing w:after="0" w:line="240" w:lineRule="auto"/>
      <w:contextualSpacing/>
    </w:pPr>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itleChar" w:type="character">
    <w:name w:val="Title Char"/>
    <w:link w:val="Title"/>
    <w:uiPriority w:val="10"/>
    <w:rsid w:val="004863D8"/>
    <w:rPr>
      <w:rFonts w:asciiTheme="majorHAnsi" w:cstheme="majorBidi" w:eastAsiaTheme="majorEastAsia" w:hAnsiTheme="majorHAnsi"/>
      <w:color w:themeColor="text1" w:themeTint="D9" w:val="262626"/>
      <w:spacing w:val="-15"/>
      <w:kern w:val="0"/>
      <w:sz w:val="96"/>
      <w:szCs w:val="96"/>
      <w:lang w:eastAsia="zh-CN"/>
      <w14:ligatures w14:val="none"/>
    </w:rPr>
  </w:style>
  <w:style w:customStyle="1" w:styleId="TtuloCar" w:type="character">
    <w:name w:val="Título Car"/>
    <w:basedOn w:val="DefaultParagraphFont"/>
    <w:uiPriority w:val="10"/>
    <w:rsid w:val="004863D8"/>
    <w:rPr>
      <w:rFonts w:asciiTheme="majorHAnsi" w:cstheme="majorBidi" w:eastAsiaTheme="majorEastAsia" w:hAnsiTheme="majorHAnsi"/>
      <w:spacing w:val="-10"/>
      <w:kern w:val="28"/>
      <w:sz w:val="56"/>
      <w:szCs w:val="56"/>
    </w:rPr>
  </w:style>
  <w:style w:customStyle="1" w:styleId="Ttulo1" w:type="paragraph">
    <w:name w:val="Título1"/>
    <w:basedOn w:val="Heading1"/>
    <w:link w:val="TtuloChar"/>
    <w:rsid w:val="004863D8"/>
    <w:pPr>
      <w:spacing w:after="40" w:before="360" w:line="240" w:lineRule="auto"/>
    </w:pPr>
    <w:rPr>
      <w:rFonts w:ascii="Arial" w:hAnsi="Arial"/>
      <w:b/>
      <w:color w:val="002060"/>
      <w:kern w:val="0"/>
      <w:sz w:val="40"/>
      <w:szCs w:val="40"/>
      <w:lang w:eastAsia="zh-CN"/>
      <w14:ligatures w14:val="none"/>
    </w:rPr>
  </w:style>
  <w:style w:customStyle="1" w:styleId="TtuloChar" w:type="character">
    <w:name w:val="Título Char"/>
    <w:basedOn w:val="Ttulo1Car1"/>
    <w:link w:val="Ttulo1"/>
    <w:rsid w:val="004863D8"/>
    <w:rPr>
      <w:rFonts w:ascii="Arial" w:cstheme="majorBidi" w:eastAsiaTheme="majorEastAsia" w:hAnsi="Arial"/>
      <w:b/>
      <w:color w:val="002060"/>
      <w:kern w:val="0"/>
      <w:sz w:val="40"/>
      <w:szCs w:val="40"/>
      <w:lang w:eastAsia="zh-CN"/>
      <w14:ligatures w14:val="none"/>
    </w:rPr>
  </w:style>
  <w:style w:customStyle="1" w:styleId="Ttulo1Car1" w:type="character">
    <w:name w:val="Título 1 Car1"/>
    <w:uiPriority w:val="9"/>
    <w:rsid w:val="004863D8"/>
    <w:rPr>
      <w:rFonts w:asciiTheme="majorHAnsi" w:cstheme="majorBidi" w:eastAsiaTheme="majorEastAsia" w:hAnsiTheme="majorHAnsi"/>
      <w:color w:themeColor="accent6" w:themeShade="BF" w:val="538135"/>
      <w:sz w:val="40"/>
      <w:szCs w:val="40"/>
    </w:rPr>
  </w:style>
  <w:style w:customStyle="1" w:styleId="Subttulo1" w:type="paragraph">
    <w:name w:val="Subtítulo1"/>
    <w:basedOn w:val="Heading2"/>
    <w:link w:val="SubttuloChar"/>
    <w:rsid w:val="004863D8"/>
    <w:pPr>
      <w:spacing w:before="80" w:line="240" w:lineRule="auto"/>
    </w:pPr>
    <w:rPr>
      <w:rFonts w:ascii="Arial" w:hAnsi="Arial"/>
      <w:b/>
      <w:bCs/>
      <w:color w:themeColor="accent6" w:themeShade="BF" w:val="538135"/>
      <w:kern w:val="0"/>
      <w:sz w:val="24"/>
      <w:szCs w:val="32"/>
      <w:lang w:eastAsia="zh-CN"/>
      <w14:ligatures w14:val="none"/>
    </w:rPr>
  </w:style>
  <w:style w:customStyle="1" w:styleId="SubttuloChar" w:type="character">
    <w:name w:val="Subtítulo Char"/>
    <w:basedOn w:val="Ttulo2Car1"/>
    <w:link w:val="Subttulo1"/>
    <w:rsid w:val="004863D8"/>
    <w:rPr>
      <w:rFonts w:ascii="Arial" w:cstheme="majorBidi" w:eastAsiaTheme="majorEastAsia" w:hAnsi="Arial"/>
      <w:b/>
      <w:bCs/>
      <w:color w:themeColor="accent6" w:themeShade="BF" w:val="538135"/>
      <w:kern w:val="0"/>
      <w:sz w:val="24"/>
      <w:szCs w:val="32"/>
      <w:lang w:eastAsia="zh-CN"/>
      <w14:ligatures w14:val="none"/>
    </w:rPr>
  </w:style>
  <w:style w:customStyle="1" w:styleId="Ttulo2Car1" w:type="character">
    <w:name w:val="Título 2 Car1"/>
    <w:uiPriority w:val="9"/>
    <w:semiHidden/>
    <w:rsid w:val="004863D8"/>
    <w:rPr>
      <w:rFonts w:asciiTheme="majorHAnsi" w:cstheme="majorBidi" w:eastAsiaTheme="majorEastAsia" w:hAnsiTheme="majorHAnsi"/>
      <w:color w:themeColor="accent6" w:themeShade="BF" w:val="538135"/>
      <w:sz w:val="28"/>
      <w:szCs w:val="28"/>
    </w:rPr>
  </w:style>
  <w:style w:customStyle="1" w:styleId="Ttulodeseccin" w:type="paragraph">
    <w:name w:val="Título de sección"/>
    <w:basedOn w:val="Ttulo1"/>
    <w:link w:val="TtulodeseccinChar"/>
    <w:uiPriority w:val="1"/>
    <w:rsid w:val="004863D8"/>
    <w:pPr>
      <w:spacing w:before="40"/>
      <w:outlineLvl w:val="2"/>
    </w:pPr>
    <w:rPr>
      <w:rFonts w:asciiTheme="majorHAnsi" w:hAnsiTheme="majorHAnsi"/>
      <w:color w:val="auto"/>
      <w:sz w:val="22"/>
      <w:szCs w:val="22"/>
    </w:rPr>
  </w:style>
  <w:style w:customStyle="1" w:styleId="TtulodeseccinChar" w:type="character">
    <w:name w:val="Título de sección Char"/>
    <w:link w:val="Ttulodeseccin"/>
    <w:uiPriority w:val="1"/>
    <w:rsid w:val="004863D8"/>
    <w:rPr>
      <w:rFonts w:asciiTheme="majorHAnsi" w:cstheme="majorBidi" w:eastAsiaTheme="majorEastAsia" w:hAnsiTheme="majorHAnsi"/>
      <w:b/>
      <w:kern w:val="0"/>
      <w:lang w:eastAsia="zh-CN"/>
      <w14:ligatures w14:val="none"/>
    </w:rPr>
  </w:style>
  <w:style w:customStyle="1" w:styleId="CommentTextChar" w:type="character">
    <w:name w:val="Comment Text Char"/>
    <w:uiPriority w:val="99"/>
    <w:rsid w:val="004863D8"/>
    <w:rPr>
      <w:sz w:val="20"/>
      <w:szCs w:val="20"/>
    </w:rPr>
  </w:style>
  <w:style w:customStyle="1" w:styleId="CommentSubjectChar" w:type="character">
    <w:name w:val="Comment Subject Char"/>
    <w:basedOn w:val="CommentTextChar1"/>
    <w:link w:val="CommentSubject"/>
    <w:uiPriority w:val="99"/>
    <w:semiHidden/>
    <w:rsid w:val="004863D8"/>
    <w:rPr>
      <w:rFonts w:eastAsiaTheme="minorEastAsia"/>
      <w:b/>
      <w:bCs/>
      <w:kern w:val="0"/>
      <w:sz w:val="20"/>
      <w:szCs w:val="20"/>
      <w:lang w:eastAsia="zh-CN"/>
      <w14:ligatures w14:val="none"/>
    </w:rPr>
  </w:style>
  <w:style w:styleId="CommentSubject" w:type="paragraph">
    <w:name w:val="annotation subject"/>
    <w:basedOn w:val="CommentText"/>
    <w:next w:val="CommentText"/>
    <w:link w:val="CommentSubjectChar"/>
    <w:uiPriority w:val="99"/>
    <w:semiHidden/>
    <w:unhideWhenUsed/>
    <w:rsid w:val="004863D8"/>
    <w:pPr>
      <w:spacing w:after="200"/>
    </w:pPr>
    <w:rPr>
      <w:rFonts w:eastAsiaTheme="minorEastAsia"/>
      <w:b/>
      <w:bCs/>
      <w:kern w:val="0"/>
      <w:lang w:eastAsia="zh-CN"/>
      <w14:ligatures w14:val="none"/>
    </w:rPr>
  </w:style>
  <w:style w:customStyle="1" w:styleId="AsuntodelcomentarioCar1" w:type="character">
    <w:name w:val="Asunto del comentario Car1"/>
    <w:basedOn w:val="CommentTextChar1"/>
    <w:uiPriority w:val="99"/>
    <w:semiHidden/>
    <w:rsid w:val="004863D8"/>
    <w:rPr>
      <w:b/>
      <w:bCs/>
      <w:sz w:val="20"/>
      <w:szCs w:val="20"/>
    </w:rPr>
  </w:style>
  <w:style w:customStyle="1" w:styleId="paragraph" w:type="paragraph">
    <w:name w:val="paragraph"/>
    <w:basedOn w:val="Normal"/>
    <w:rsid w:val="004863D8"/>
    <w:pPr>
      <w:spacing w:after="200" w:afterAutospacing="1" w:beforeAutospacing="1" w:line="240" w:lineRule="auto"/>
    </w:pPr>
    <w:rPr>
      <w:rFonts w:ascii="Times New Roman" w:cs="Times New Roman" w:eastAsia="Times New Roman" w:hAnsi="Times New Roman"/>
      <w:kern w:val="0"/>
      <w:sz w:val="24"/>
      <w:szCs w:val="24"/>
      <w:lang w:eastAsia="zh-CN"/>
      <w14:ligatures w14:val="none"/>
    </w:rPr>
  </w:style>
  <w:style w:customStyle="1" w:styleId="eop" w:type="character">
    <w:name w:val="eop"/>
    <w:rsid w:val="004863D8"/>
  </w:style>
  <w:style w:customStyle="1" w:styleId="contentcontrolboundarysink" w:type="character">
    <w:name w:val="contentcontrolboundarysink"/>
    <w:uiPriority w:val="1"/>
    <w:rsid w:val="004863D8"/>
  </w:style>
  <w:style w:styleId="BalloonText" w:type="paragraph">
    <w:name w:val="Balloon Text"/>
    <w:basedOn w:val="Normal"/>
    <w:link w:val="BalloonTextChar"/>
    <w:uiPriority w:val="99"/>
    <w:semiHidden/>
    <w:unhideWhenUsed/>
    <w:rsid w:val="004863D8"/>
    <w:pPr>
      <w:spacing w:after="0" w:line="240" w:lineRule="auto"/>
    </w:pPr>
    <w:rPr>
      <w:rFonts w:ascii="Segoe UI" w:cs="Segoe UI" w:eastAsiaTheme="minorEastAsia" w:hAnsi="Segoe UI"/>
      <w:kern w:val="0"/>
      <w:sz w:val="18"/>
      <w:szCs w:val="18"/>
      <w:lang w:eastAsia="zh-CN"/>
      <w14:ligatures w14:val="none"/>
    </w:rPr>
  </w:style>
  <w:style w:customStyle="1" w:styleId="BalloonTextChar" w:type="character">
    <w:name w:val="Balloon Text Char"/>
    <w:link w:val="BalloonText"/>
    <w:uiPriority w:val="99"/>
    <w:semiHidden/>
    <w:rsid w:val="004863D8"/>
    <w:rPr>
      <w:rFonts w:ascii="Segoe UI" w:cs="Segoe UI" w:eastAsiaTheme="minorEastAsia" w:hAnsi="Segoe UI"/>
      <w:kern w:val="0"/>
      <w:sz w:val="18"/>
      <w:szCs w:val="18"/>
      <w:lang w:eastAsia="zh-CN"/>
      <w14:ligatures w14:val="none"/>
    </w:rPr>
  </w:style>
  <w:style w:customStyle="1" w:styleId="TextodegloboCar" w:type="character">
    <w:name w:val="Texto de globo Car"/>
    <w:basedOn w:val="DefaultParagraphFont"/>
    <w:uiPriority w:val="99"/>
    <w:semiHidden/>
    <w:rsid w:val="004863D8"/>
    <w:rPr>
      <w:rFonts w:ascii="Segoe UI" w:cs="Segoe UI" w:hAnsi="Segoe UI"/>
      <w:sz w:val="18"/>
      <w:szCs w:val="18"/>
    </w:rPr>
  </w:style>
  <w:style w:customStyle="1" w:styleId="EncabezadoCar1" w:type="character">
    <w:name w:val="Encabezado Car1"/>
    <w:uiPriority w:val="99"/>
    <w:rsid w:val="004863D8"/>
    <w:rPr>
      <w:lang w:val="es-CO"/>
    </w:rPr>
  </w:style>
  <w:style w:customStyle="1" w:styleId="PiedepginaCar1" w:type="character">
    <w:name w:val="Pie de página Car1"/>
    <w:uiPriority w:val="99"/>
    <w:rsid w:val="004863D8"/>
    <w:rPr>
      <w:lang w:val="es-CO"/>
    </w:rPr>
  </w:style>
  <w:style w:styleId="Subtitle" w:type="paragraph">
    <w:name w:val="Subtitle"/>
    <w:basedOn w:val="Normal"/>
    <w:next w:val="Normal"/>
    <w:link w:val="SubtitleChar"/>
    <w:uiPriority w:val="11"/>
    <w:qFormat/>
    <w:rsid w:val="004863D8"/>
    <w:pPr>
      <w:numPr>
        <w:ilvl w:val="1"/>
      </w:numPr>
      <w:spacing w:after="200" w:line="240" w:lineRule="auto"/>
    </w:pPr>
    <w:rPr>
      <w:rFonts w:asciiTheme="majorHAnsi" w:cstheme="majorBidi" w:eastAsiaTheme="majorEastAsia" w:hAnsiTheme="majorHAnsi"/>
      <w:kern w:val="0"/>
      <w:sz w:val="30"/>
      <w:szCs w:val="30"/>
      <w:lang w:eastAsia="zh-CN"/>
      <w14:ligatures w14:val="none"/>
    </w:rPr>
  </w:style>
  <w:style w:customStyle="1" w:styleId="SubtitleChar" w:type="character">
    <w:name w:val="Subtitle Char"/>
    <w:link w:val="Subtitle"/>
    <w:uiPriority w:val="11"/>
    <w:rsid w:val="004863D8"/>
    <w:rPr>
      <w:rFonts w:asciiTheme="majorHAnsi" w:cstheme="majorBidi" w:eastAsiaTheme="majorEastAsia" w:hAnsiTheme="majorHAnsi"/>
      <w:kern w:val="0"/>
      <w:sz w:val="30"/>
      <w:szCs w:val="30"/>
      <w:lang w:eastAsia="zh-CN"/>
      <w14:ligatures w14:val="none"/>
    </w:rPr>
  </w:style>
  <w:style w:customStyle="1" w:styleId="SubttuloCar" w:type="character">
    <w:name w:val="Subtítulo Car"/>
    <w:basedOn w:val="DefaultParagraphFont"/>
    <w:uiPriority w:val="11"/>
    <w:rsid w:val="004863D8"/>
    <w:rPr>
      <w:rFonts w:eastAsiaTheme="minorEastAsia"/>
      <w:color w:themeColor="text1" w:themeTint="A5" w:val="5A5A5A"/>
      <w:spacing w:val="15"/>
    </w:rPr>
  </w:style>
  <w:style w:styleId="Emphasis" w:type="character">
    <w:name w:val="Emphasis"/>
    <w:uiPriority w:val="20"/>
    <w:qFormat/>
    <w:rsid w:val="004863D8"/>
    <w:rPr>
      <w:i/>
      <w:iCs/>
      <w:color w:themeColor="accent6" w:val="70AD47"/>
    </w:rPr>
  </w:style>
  <w:style w:styleId="NoSpacing" w:type="paragraph">
    <w:name w:val="No Spacing"/>
    <w:uiPriority w:val="1"/>
    <w:qFormat/>
    <w:rsid w:val="004863D8"/>
    <w:pPr>
      <w:spacing w:after="0" w:line="240" w:lineRule="auto"/>
    </w:pPr>
    <w:rPr>
      <w:rFonts w:eastAsiaTheme="minorEastAsia"/>
      <w:kern w:val="0"/>
      <w:sz w:val="21"/>
      <w:szCs w:val="21"/>
      <w:lang w:eastAsia="zh-CN" w:val="en-US"/>
      <w14:ligatures w14:val="none"/>
    </w:rPr>
  </w:style>
  <w:style w:styleId="Quote" w:type="paragraph">
    <w:name w:val="Quote"/>
    <w:basedOn w:val="Normal"/>
    <w:next w:val="Normal"/>
    <w:link w:val="QuoteChar"/>
    <w:uiPriority w:val="29"/>
    <w:qFormat/>
    <w:rsid w:val="004863D8"/>
    <w:pPr>
      <w:spacing w:after="200" w:before="160" w:line="288" w:lineRule="auto"/>
      <w:ind w:left="720" w:right="720"/>
      <w:jc w:val="center"/>
    </w:pPr>
    <w:rPr>
      <w:rFonts w:eastAsiaTheme="minorEastAsia"/>
      <w:i/>
      <w:iCs/>
      <w:color w:themeColor="text1" w:themeTint="D9" w:val="262626"/>
      <w:kern w:val="0"/>
      <w:sz w:val="21"/>
      <w:szCs w:val="21"/>
      <w:lang w:eastAsia="zh-CN"/>
      <w14:ligatures w14:val="none"/>
    </w:rPr>
  </w:style>
  <w:style w:customStyle="1" w:styleId="QuoteChar" w:type="character">
    <w:name w:val="Quote Char"/>
    <w:link w:val="Quote"/>
    <w:uiPriority w:val="29"/>
    <w:rsid w:val="004863D8"/>
    <w:rPr>
      <w:rFonts w:eastAsiaTheme="minorEastAsia"/>
      <w:i/>
      <w:iCs/>
      <w:color w:themeColor="text1" w:themeTint="D9" w:val="262626"/>
      <w:kern w:val="0"/>
      <w:sz w:val="21"/>
      <w:szCs w:val="21"/>
      <w:lang w:eastAsia="zh-CN"/>
      <w14:ligatures w14:val="none"/>
    </w:rPr>
  </w:style>
  <w:style w:customStyle="1" w:styleId="CitaCar" w:type="character">
    <w:name w:val="Cita Car"/>
    <w:basedOn w:val="DefaultParagraphFont"/>
    <w:uiPriority w:val="29"/>
    <w:rsid w:val="004863D8"/>
    <w:rPr>
      <w:i/>
      <w:iCs/>
      <w:color w:themeColor="text1" w:themeTint="BF" w:val="404040"/>
    </w:rPr>
  </w:style>
  <w:style w:styleId="IntenseQuote" w:type="paragraph">
    <w:name w:val="Intense Quote"/>
    <w:basedOn w:val="Normal"/>
    <w:next w:val="Normal"/>
    <w:link w:val="IntenseQuoteChar"/>
    <w:uiPriority w:val="30"/>
    <w:qFormat/>
    <w:rsid w:val="004863D8"/>
    <w:pPr>
      <w:spacing w:before="160" w:line="264" w:lineRule="auto"/>
      <w:ind w:left="720" w:right="720"/>
      <w:jc w:val="center"/>
    </w:pPr>
    <w:rPr>
      <w:rFonts w:asciiTheme="majorHAnsi" w:cstheme="majorBidi" w:eastAsiaTheme="majorEastAsia" w:hAnsiTheme="majorHAnsi"/>
      <w:i/>
      <w:iCs/>
      <w:color w:themeColor="accent6" w:val="70AD47"/>
      <w:kern w:val="0"/>
      <w:sz w:val="32"/>
      <w:szCs w:val="32"/>
      <w:lang w:eastAsia="zh-CN"/>
      <w14:ligatures w14:val="none"/>
    </w:rPr>
  </w:style>
  <w:style w:customStyle="1" w:styleId="IntenseQuoteChar" w:type="character">
    <w:name w:val="Intense Quote Char"/>
    <w:link w:val="IntenseQuote"/>
    <w:uiPriority w:val="30"/>
    <w:rsid w:val="004863D8"/>
    <w:rPr>
      <w:rFonts w:asciiTheme="majorHAnsi" w:cstheme="majorBidi" w:eastAsiaTheme="majorEastAsia" w:hAnsiTheme="majorHAnsi"/>
      <w:i/>
      <w:iCs/>
      <w:color w:themeColor="accent6" w:val="70AD47"/>
      <w:kern w:val="0"/>
      <w:sz w:val="32"/>
      <w:szCs w:val="32"/>
      <w:lang w:eastAsia="zh-CN"/>
      <w14:ligatures w14:val="none"/>
    </w:rPr>
  </w:style>
  <w:style w:customStyle="1" w:styleId="CitadestacadaCar" w:type="character">
    <w:name w:val="Cita destacada Car"/>
    <w:basedOn w:val="DefaultParagraphFont"/>
    <w:uiPriority w:val="30"/>
    <w:rsid w:val="004863D8"/>
    <w:rPr>
      <w:i/>
      <w:iCs/>
      <w:color w:themeColor="accent1" w:val="4472C4"/>
    </w:rPr>
  </w:style>
  <w:style w:styleId="SubtleEmphasis" w:type="character">
    <w:name w:val="Subtle Emphasis"/>
    <w:uiPriority w:val="19"/>
    <w:qFormat/>
    <w:rsid w:val="004863D8"/>
    <w:rPr>
      <w:i/>
      <w:iCs/>
    </w:rPr>
  </w:style>
  <w:style w:styleId="IntenseEmphasis" w:type="character">
    <w:name w:val="Intense Emphasis"/>
    <w:uiPriority w:val="21"/>
    <w:qFormat/>
    <w:rsid w:val="004863D8"/>
    <w:rPr>
      <w:b/>
      <w:bCs/>
      <w:i/>
      <w:iCs/>
    </w:rPr>
  </w:style>
  <w:style w:styleId="SubtleReference" w:type="character">
    <w:name w:val="Subtle Reference"/>
    <w:uiPriority w:val="31"/>
    <w:qFormat/>
    <w:rsid w:val="004863D8"/>
    <w:rPr>
      <w:smallCaps/>
      <w:color w:themeColor="text1" w:themeTint="A6" w:val="595959"/>
    </w:rPr>
  </w:style>
  <w:style w:styleId="IntenseReference" w:type="character">
    <w:name w:val="Intense Reference"/>
    <w:uiPriority w:val="32"/>
    <w:qFormat/>
    <w:rsid w:val="004863D8"/>
    <w:rPr>
      <w:b/>
      <w:bCs/>
      <w:smallCaps/>
      <w:color w:themeColor="accent6" w:val="70AD47"/>
    </w:rPr>
  </w:style>
  <w:style w:styleId="BookTitle" w:type="character">
    <w:name w:val="Book Title"/>
    <w:uiPriority w:val="33"/>
    <w:qFormat/>
    <w:rsid w:val="004863D8"/>
    <w:rPr>
      <w:b/>
      <w:bCs/>
      <w:smallCaps/>
      <w:sz w:val="21"/>
      <w:szCs w:val="21"/>
    </w:rPr>
  </w:style>
  <w:style w:customStyle="1" w:styleId="Mention1" w:type="character">
    <w:name w:val="Mention1"/>
    <w:uiPriority w:val="99"/>
    <w:unhideWhenUsed/>
    <w:rsid w:val="004863D8"/>
    <w:rPr>
      <w:color w:val="2B579A"/>
    </w:rPr>
  </w:style>
  <w:style w:styleId="BodyText" w:type="paragraph">
    <w:name w:val="Body Text"/>
    <w:basedOn w:val="Normal"/>
    <w:link w:val="BodyTextChar"/>
    <w:qFormat/>
    <w:rsid w:val="004863D8"/>
    <w:pPr>
      <w:spacing w:after="180" w:before="180" w:line="240" w:lineRule="auto"/>
    </w:pPr>
    <w:rPr>
      <w:kern w:val="0"/>
      <w:sz w:val="24"/>
      <w:szCs w:val="24"/>
      <w:lang w:val="en-US"/>
      <w14:ligatures w14:val="none"/>
    </w:rPr>
  </w:style>
  <w:style w:customStyle="1" w:styleId="BodyTextChar" w:type="character">
    <w:name w:val="Body Text Char"/>
    <w:link w:val="BodyText"/>
    <w:rsid w:val="004863D8"/>
    <w:rPr>
      <w:kern w:val="0"/>
      <w:sz w:val="24"/>
      <w:szCs w:val="24"/>
      <w:lang w:val="en-US"/>
      <w14:ligatures w14:val="none"/>
    </w:rPr>
  </w:style>
  <w:style w:customStyle="1" w:styleId="TextoindependienteCar" w:type="character">
    <w:name w:val="Texto independiente Car"/>
    <w:basedOn w:val="DefaultParagraphFont"/>
    <w:uiPriority w:val="1"/>
    <w:rsid w:val="004863D8"/>
  </w:style>
  <w:style w:customStyle="1" w:styleId="FirstParagraph" w:type="paragraph">
    <w:name w:val="First Paragraph"/>
    <w:basedOn w:val="BodyText"/>
    <w:next w:val="BodyText"/>
    <w:qFormat/>
    <w:rsid w:val="004863D8"/>
  </w:style>
  <w:style w:styleId="Bibliography" w:type="paragraph">
    <w:name w:val="Bibliography"/>
    <w:basedOn w:val="Normal"/>
    <w:next w:val="Normal"/>
    <w:uiPriority w:val="37"/>
    <w:unhideWhenUsed/>
    <w:rsid w:val="004863D8"/>
    <w:pPr>
      <w:spacing w:after="200" w:line="288" w:lineRule="auto"/>
    </w:pPr>
    <w:rPr>
      <w:rFonts w:eastAsiaTheme="minorEastAsia"/>
      <w:kern w:val="0"/>
      <w:sz w:val="21"/>
      <w:szCs w:val="21"/>
      <w:lang w:eastAsia="zh-CN"/>
      <w14:ligatures w14:val="none"/>
    </w:rPr>
  </w:style>
  <w:style w:customStyle="1" w:styleId="EndnoteTextChar" w:type="character">
    <w:name w:val="Endnote Text Char"/>
    <w:basedOn w:val="DefaultParagraphFont"/>
    <w:link w:val="EndnoteText"/>
    <w:uiPriority w:val="99"/>
    <w:semiHidden/>
    <w:rsid w:val="004863D8"/>
    <w:rPr>
      <w:rFonts w:eastAsiaTheme="minorEastAsia"/>
      <w:kern w:val="0"/>
      <w:sz w:val="20"/>
      <w:szCs w:val="20"/>
      <w:lang w:eastAsia="zh-CN"/>
      <w14:ligatures w14:val="none"/>
    </w:rPr>
  </w:style>
  <w:style w:styleId="EndnoteText" w:type="paragraph">
    <w:name w:val="endnote text"/>
    <w:basedOn w:val="Normal"/>
    <w:link w:val="EndnoteTextChar"/>
    <w:uiPriority w:val="99"/>
    <w:semiHidden/>
    <w:unhideWhenUsed/>
    <w:rsid w:val="004863D8"/>
    <w:pPr>
      <w:spacing w:after="0" w:line="240" w:lineRule="auto"/>
    </w:pPr>
    <w:rPr>
      <w:rFonts w:eastAsiaTheme="minorEastAsia"/>
      <w:kern w:val="0"/>
      <w:sz w:val="20"/>
      <w:szCs w:val="20"/>
      <w:lang w:eastAsia="zh-CN"/>
      <w14:ligatures w14:val="none"/>
    </w:rPr>
  </w:style>
  <w:style w:customStyle="1" w:styleId="TextonotaalfinalCar1" w:type="character">
    <w:name w:val="Texto nota al final Car1"/>
    <w:basedOn w:val="DefaultParagraphFont"/>
    <w:uiPriority w:val="99"/>
    <w:semiHidden/>
    <w:rsid w:val="004863D8"/>
    <w:rPr>
      <w:sz w:val="20"/>
      <w:szCs w:val="20"/>
    </w:rPr>
  </w:style>
  <w:style w:customStyle="1" w:styleId="p1" w:type="paragraph">
    <w:name w:val="p1"/>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s2" w:type="character">
    <w:name w:val="s2"/>
    <w:basedOn w:val="DefaultParagraphFont"/>
    <w:rsid w:val="004863D8"/>
  </w:style>
  <w:style w:customStyle="1" w:styleId="s1" w:type="character">
    <w:name w:val="s1"/>
    <w:basedOn w:val="DefaultParagraphFont"/>
    <w:rsid w:val="004863D8"/>
  </w:style>
  <w:style w:customStyle="1" w:styleId="p2" w:type="paragraph">
    <w:name w:val="p2"/>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lang w:val="en-US"/>
      <w14:ligatures w14:val="none"/>
    </w:rPr>
  </w:style>
  <w:style w:customStyle="1" w:styleId="p3" w:type="paragraph">
    <w:name w:val="p3"/>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customStyle="1" w:styleId="p4" w:type="paragraph">
    <w:name w:val="p4"/>
    <w:basedOn w:val="Normal"/>
    <w:rsid w:val="004863D8"/>
    <w:pPr>
      <w:spacing w:after="100" w:afterAutospacing="1" w:before="100" w:beforeAutospacing="1" w:line="240" w:lineRule="auto"/>
      <w:jc w:val="left"/>
    </w:pPr>
    <w:rPr>
      <w:rFonts w:ascii="Times New Roman" w:cs="Times New Roman" w:eastAsiaTheme="minorEastAsia" w:hAnsi="Times New Roman"/>
      <w:kern w:val="0"/>
      <w:sz w:val="24"/>
      <w:szCs w:val="24"/>
      <w14:ligatures w14:val="none"/>
    </w:rPr>
  </w:style>
  <w:style w:styleId="GridTable4-Accent1" w:type="table">
    <w:name w:val="Grid Table 4 Accent 1"/>
    <w:basedOn w:val="TableNormal"/>
    <w:uiPriority w:val="49"/>
    <w:rsid w:val="004863D8"/>
    <w:pPr>
      <w:spacing w:after="0" w:line="240" w:lineRule="auto"/>
    </w:pPr>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customStyle="1" w:styleId="Compact" w:type="paragraph">
    <w:name w:val="Compact"/>
    <w:basedOn w:val="BodyText"/>
    <w:qFormat/>
    <w:pPr>
      <w:spacing w:after="36" w:before="36"/>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siipo.dnp.gov.co/inicio" TargetMode="External"/><Relationship Id="rId3" Type="http://schemas.openxmlformats.org/officeDocument/2006/relationships/hyperlink" Target="https://www.antioquia.gov.co/articulos/linea-estrategica-transformacion-digital-de-antioquia" TargetMode="External"/><Relationship Id="rId7" Type="http://schemas.openxmlformats.org/officeDocument/2006/relationships/hyperlink" Target="https://unidadbusqueda.gov.co/" TargetMode="External"/><Relationship Id="rId2" Type="http://schemas.openxmlformats.org/officeDocument/2006/relationships/hyperlink" Target="https://colombiatic.mintic.gov.co/679/w3-propertyvalue-36342.html" TargetMode="External"/><Relationship Id="rId1" Type="http://schemas.openxmlformats.org/officeDocument/2006/relationships/hyperlink" Target="https://mapainversiones.dnp.gov.co/Home/Resultados?CENTRO_NEGOCIO=4" TargetMode="External"/><Relationship Id="rId6" Type="http://schemas.openxmlformats.org/officeDocument/2006/relationships/hyperlink" Target="https://www.datos.gov.co/Agricultura-y-Desarrollo-Rural/Estad-sticas-Solicitudes-Restituci-n-Discriminadas/s87b-tjcc/about_data" TargetMode="External"/><Relationship Id="rId5" Type="http://schemas.openxmlformats.org/officeDocument/2006/relationships/hyperlink" Target="https://datospaz.unidadvictimas.gov.co/" TargetMode="External"/><Relationship Id="rId4" Type="http://schemas.openxmlformats.org/officeDocument/2006/relationships/hyperlink" Target="https://www.datos.gov.co/Inclusi-n-Social-y-Reconciliaci-n/Cifras-de-V-ctimas-Municipal/ykxr-xynr/about_data" TargetMode="External"/><Relationship Id="rId9" Type="http://schemas.openxmlformats.org/officeDocument/2006/relationships/hyperlink" Target="https://datos.unidadbusqueda.gov.co/universo-personas-dadas-desaparecidas/" TargetMode="External"/></Relationship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29934</Words>
  <Characters>170626</Characters>
  <Application>Microsoft Office Word</Application>
  <DocSecurity>0</DocSecurity>
  <Lines>1421</Lines>
  <Paragraphs>400</Paragraphs>
  <ScaleCrop>false</ScaleCrop>
  <Company/>
  <LinksUpToDate>false</LinksUpToDate>
  <CharactersWithSpaces>200160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 once provincias de Antioquia, comparadas</dc:title>
  <dc:creator>Proyecto Provincias · Planes Estratégicos Provinciales de Antioquia</dc:creator>
  <dc:language>es</dc:language>
  <cp:keywords/>
  <dcterms:created xsi:type="dcterms:W3CDTF">2026-08-21T22:50:37Z</dcterms:created>
  <dcterms:modified xsi:type="dcterms:W3CDTF">2026-08-21T22:50:37Z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de agosto de 2026</vt:lpwstr>
  </property>
  <property fmtid="{D5CDD505-2E9C-101B-9397-08002B2CF9AE}" pid="3" name="subtitle">
    <vt:lpwstr>Análisis comparativo del sistema provincial</vt:lpwstr>
  </property>
</Properties>
</file>