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44EF33EA"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933720">
        <w:rPr>
          <w:color w:val="000000" w:themeColor="text1"/>
          <w:sz w:val="44"/>
          <w:szCs w:val="44"/>
        </w:rPr>
        <w:t>Abejorral</w:t>
      </w:r>
      <w:r w:rsidR="001C6F8E">
        <w:rPr>
          <w:color w:val="000000" w:themeColor="text1"/>
          <w:sz w:val="44"/>
          <w:szCs w:val="44"/>
        </w:rPr>
        <w:t xml:space="preserve"> </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5FE22878" w14:textId="77777777" w:rsidR="00933720" w:rsidRPr="00933720" w:rsidRDefault="00933720" w:rsidP="00933720">
      <w:pPr>
        <w:spacing w:line="360" w:lineRule="auto"/>
        <w:jc w:val="both"/>
        <w:rPr>
          <w:rFonts w:ascii="Aptos" w:hAnsi="Aptos" w:cs="Times New Roman"/>
          <w:lang w:val="es-ES"/>
        </w:rPr>
      </w:pPr>
      <w:r w:rsidRPr="00933720">
        <w:rPr>
          <w:rFonts w:ascii="Aptos" w:hAnsi="Aptos" w:cs="Times New Roman"/>
        </w:rPr>
        <w:lastRenderedPageBreak/>
        <w:t xml:space="preserve">El estado actual de su normatividad tributaria se establece en los acuerdos: </w:t>
      </w:r>
      <w:r w:rsidRPr="00933720">
        <w:rPr>
          <w:rFonts w:ascii="Aptos" w:hAnsi="Aptos" w:cs="Times New Roman"/>
          <w:lang w:val="es-ES"/>
        </w:rPr>
        <w:t>Acuerdo 019 de 2021</w:t>
      </w:r>
    </w:p>
    <w:p w14:paraId="0237793C" w14:textId="77777777" w:rsidR="00933720" w:rsidRPr="00933720" w:rsidRDefault="00933720" w:rsidP="00933720">
      <w:pPr>
        <w:spacing w:line="360" w:lineRule="auto"/>
        <w:jc w:val="both"/>
        <w:rPr>
          <w:rFonts w:ascii="Aptos" w:hAnsi="Aptos" w:cs="Times New Roman"/>
          <w:b/>
          <w:sz w:val="32"/>
          <w:szCs w:val="32"/>
          <w:lang w:val="es-ES"/>
        </w:rPr>
      </w:pPr>
      <w:r w:rsidRPr="00933720">
        <w:rPr>
          <w:rFonts w:ascii="Aptos" w:hAnsi="Aptos" w:cs="Times New Roman"/>
          <w:b/>
          <w:sz w:val="32"/>
          <w:szCs w:val="32"/>
          <w:lang w:val="es-ES"/>
        </w:rPr>
        <w:t>Hallazgos</w:t>
      </w:r>
    </w:p>
    <w:p w14:paraId="2532AD05" w14:textId="77777777" w:rsidR="00933720" w:rsidRPr="00933720" w:rsidRDefault="00933720" w:rsidP="00933720">
      <w:pPr>
        <w:numPr>
          <w:ilvl w:val="0"/>
          <w:numId w:val="29"/>
        </w:numPr>
        <w:spacing w:line="360" w:lineRule="auto"/>
        <w:jc w:val="both"/>
        <w:rPr>
          <w:rFonts w:ascii="Aptos" w:hAnsi="Aptos" w:cs="Times New Roman"/>
          <w:lang w:val="es-ES"/>
        </w:rPr>
      </w:pPr>
      <w:r w:rsidRPr="00933720">
        <w:rPr>
          <w:rFonts w:ascii="Aptos" w:hAnsi="Aptos" w:cs="Times New Roman"/>
          <w:lang w:val="es-ES"/>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 En Abejorral persisten referencias a versiones anteriores del modelo.</w:t>
      </w:r>
    </w:p>
    <w:p w14:paraId="24245177" w14:textId="77777777" w:rsidR="00933720" w:rsidRPr="00933720" w:rsidRDefault="00933720" w:rsidP="00933720">
      <w:pPr>
        <w:numPr>
          <w:ilvl w:val="0"/>
          <w:numId w:val="29"/>
        </w:numPr>
        <w:spacing w:line="360" w:lineRule="auto"/>
        <w:jc w:val="both"/>
        <w:rPr>
          <w:rFonts w:ascii="Aptos" w:hAnsi="Aptos" w:cs="Times New Roman"/>
          <w:lang w:val="es-ES"/>
        </w:rPr>
      </w:pPr>
      <w:r w:rsidRPr="00933720">
        <w:rPr>
          <w:rFonts w:ascii="Aptos" w:hAnsi="Aptos" w:cs="Times New Roman"/>
          <w:lang w:val="es-ES"/>
        </w:rPr>
        <w:t>Desactualización normativa catastral: se emplea la Resolución 1149 de 2021, que debe ajustarse a la Resolución 1040 de 2023.</w:t>
      </w:r>
    </w:p>
    <w:p w14:paraId="20561900" w14:textId="77777777" w:rsidR="00933720" w:rsidRPr="00933720" w:rsidRDefault="00933720" w:rsidP="00933720">
      <w:pPr>
        <w:numPr>
          <w:ilvl w:val="0"/>
          <w:numId w:val="29"/>
        </w:numPr>
        <w:spacing w:line="360" w:lineRule="auto"/>
        <w:jc w:val="both"/>
        <w:rPr>
          <w:rFonts w:ascii="Aptos" w:hAnsi="Aptos" w:cs="Times New Roman"/>
          <w:lang w:val="es-ES"/>
        </w:rPr>
      </w:pPr>
      <w:r w:rsidRPr="00933720">
        <w:rPr>
          <w:rFonts w:ascii="Aptos" w:hAnsi="Aptos" w:cs="Times New Roman"/>
          <w:lang w:val="es-ES"/>
        </w:rPr>
        <w:t xml:space="preserve">Matriz tarifaria: </w:t>
      </w:r>
      <w:proofErr w:type="gramStart"/>
      <w:r w:rsidRPr="00933720">
        <w:rPr>
          <w:rFonts w:ascii="Aptos" w:hAnsi="Aptos" w:cs="Times New Roman"/>
          <w:lang w:val="es-ES"/>
        </w:rPr>
        <w:t>tarifas mínima</w:t>
      </w:r>
      <w:proofErr w:type="gramEnd"/>
      <w:r w:rsidRPr="00933720">
        <w:rPr>
          <w:rFonts w:ascii="Aptos" w:hAnsi="Aptos" w:cs="Times New Roman"/>
          <w:lang w:val="es-ES"/>
        </w:rPr>
        <w:t xml:space="preserve"> 5,5‰ y máxima 22‰, estructuradas por rangos en UVT.</w:t>
      </w:r>
    </w:p>
    <w:p w14:paraId="2209D584" w14:textId="77777777" w:rsidR="00933720" w:rsidRPr="00933720" w:rsidRDefault="00933720" w:rsidP="00933720">
      <w:pPr>
        <w:numPr>
          <w:ilvl w:val="0"/>
          <w:numId w:val="29"/>
        </w:numPr>
        <w:spacing w:line="360" w:lineRule="auto"/>
        <w:jc w:val="both"/>
        <w:rPr>
          <w:rFonts w:ascii="Aptos" w:hAnsi="Aptos" w:cs="Times New Roman"/>
          <w:lang w:val="es-ES"/>
        </w:rPr>
      </w:pPr>
      <w:r w:rsidRPr="00933720">
        <w:rPr>
          <w:rFonts w:ascii="Aptos" w:hAnsi="Aptos" w:cs="Times New Roman"/>
          <w:lang w:val="es-ES"/>
        </w:rPr>
        <w:t>Predios con múltiples destinos: cuando un predio presenta doble o múltiples destinaciones económicas, se aplica una única tarifa correspondiente a la mayor destinación económica.</w:t>
      </w:r>
    </w:p>
    <w:p w14:paraId="6E50EB7D" w14:textId="77777777" w:rsidR="00933720" w:rsidRPr="00933720" w:rsidRDefault="00933720" w:rsidP="00933720">
      <w:pPr>
        <w:numPr>
          <w:ilvl w:val="0"/>
          <w:numId w:val="29"/>
        </w:numPr>
        <w:spacing w:line="360" w:lineRule="auto"/>
        <w:jc w:val="both"/>
        <w:rPr>
          <w:rFonts w:ascii="Aptos" w:hAnsi="Aptos" w:cs="Times New Roman"/>
          <w:lang w:val="es-ES"/>
        </w:rPr>
      </w:pPr>
      <w:r w:rsidRPr="00933720">
        <w:rPr>
          <w:rFonts w:ascii="Aptos" w:hAnsi="Aptos" w:cs="Times New Roman"/>
          <w:lang w:val="es-ES"/>
        </w:rPr>
        <w:t>Límites al incremento: se adoptan los del artículo 6 de la Ley 44 de 1990; no se menciona la Ley 1995 de 2019 ni existen reglas para el rezago catastral.</w:t>
      </w:r>
    </w:p>
    <w:p w14:paraId="3166FFA4" w14:textId="77777777" w:rsidR="00933720" w:rsidRPr="00933720" w:rsidRDefault="00933720" w:rsidP="00933720">
      <w:pPr>
        <w:numPr>
          <w:ilvl w:val="0"/>
          <w:numId w:val="29"/>
        </w:numPr>
        <w:spacing w:line="360" w:lineRule="auto"/>
        <w:jc w:val="both"/>
        <w:rPr>
          <w:rFonts w:ascii="Aptos" w:hAnsi="Aptos" w:cs="Times New Roman"/>
          <w:lang w:val="es-ES"/>
        </w:rPr>
      </w:pPr>
      <w:r w:rsidRPr="00933720">
        <w:rPr>
          <w:rFonts w:ascii="Aptos" w:hAnsi="Aptos" w:cs="Times New Roman"/>
          <w:lang w:val="es-ES"/>
        </w:rPr>
        <w:t>Determinación y cobro: facturación trimestral, determinación oficial vía factura y declaración anual del impuesto.</w:t>
      </w:r>
    </w:p>
    <w:p w14:paraId="5769F957" w14:textId="77777777" w:rsidR="00933720" w:rsidRPr="00933720" w:rsidRDefault="00933720" w:rsidP="00933720">
      <w:pPr>
        <w:numPr>
          <w:ilvl w:val="0"/>
          <w:numId w:val="29"/>
        </w:numPr>
        <w:spacing w:line="360" w:lineRule="auto"/>
        <w:jc w:val="both"/>
        <w:rPr>
          <w:rFonts w:ascii="Aptos" w:hAnsi="Aptos" w:cs="Times New Roman"/>
          <w:lang w:val="es-ES"/>
        </w:rPr>
      </w:pPr>
      <w:r w:rsidRPr="00933720">
        <w:rPr>
          <w:rFonts w:ascii="Aptos" w:hAnsi="Aptos" w:cs="Times New Roman"/>
          <w:lang w:val="es-ES"/>
        </w:rPr>
        <w:t>Sobretasas: ambiental 1,5‰ sobre avalúo; bomberil 5 % del impuesto predial; alumbrado público 1‰ sobre avalúo catastral.</w:t>
      </w:r>
    </w:p>
    <w:p w14:paraId="7058098F" w14:textId="6CCE2371" w:rsidR="00933720" w:rsidRPr="0005161C" w:rsidRDefault="00933720" w:rsidP="00933720">
      <w:pPr>
        <w:numPr>
          <w:ilvl w:val="0"/>
          <w:numId w:val="29"/>
        </w:numPr>
        <w:spacing w:line="360" w:lineRule="auto"/>
        <w:jc w:val="both"/>
        <w:rPr>
          <w:rFonts w:ascii="Aptos" w:hAnsi="Aptos" w:cs="Times New Roman"/>
          <w:lang w:val="es-ES"/>
        </w:rPr>
      </w:pPr>
      <w:r w:rsidRPr="00933720">
        <w:rPr>
          <w:rFonts w:ascii="Aptos" w:hAnsi="Aptos" w:cs="Times New Roman"/>
          <w:lang w:val="es-ES"/>
        </w:rPr>
        <w:t>Régimen de beneficios: no se identifican en el acuerdo beneficios tributarios, exenciones, gravámenes prohibidos ni exclusiones.</w:t>
      </w:r>
    </w:p>
    <w:p w14:paraId="7C73A73C" w14:textId="77777777" w:rsidR="00933720" w:rsidRPr="00933720" w:rsidRDefault="00933720" w:rsidP="00933720">
      <w:pPr>
        <w:spacing w:line="360" w:lineRule="auto"/>
        <w:jc w:val="both"/>
        <w:rPr>
          <w:rFonts w:ascii="Aptos" w:hAnsi="Aptos" w:cs="Times New Roman"/>
          <w:b/>
          <w:sz w:val="32"/>
          <w:szCs w:val="32"/>
          <w:lang w:val="es-ES"/>
        </w:rPr>
      </w:pPr>
      <w:r w:rsidRPr="00933720">
        <w:rPr>
          <w:rFonts w:ascii="Aptos" w:hAnsi="Aptos" w:cs="Times New Roman"/>
          <w:b/>
          <w:sz w:val="32"/>
          <w:szCs w:val="32"/>
          <w:lang w:val="es-ES"/>
        </w:rPr>
        <w:t>Recomendaciones</w:t>
      </w:r>
    </w:p>
    <w:p w14:paraId="7BE3A566" w14:textId="77777777" w:rsidR="00933720" w:rsidRPr="00933720" w:rsidRDefault="00933720" w:rsidP="00933720">
      <w:pPr>
        <w:numPr>
          <w:ilvl w:val="0"/>
          <w:numId w:val="30"/>
        </w:numPr>
        <w:spacing w:line="360" w:lineRule="auto"/>
        <w:jc w:val="both"/>
        <w:rPr>
          <w:rFonts w:ascii="Aptos" w:hAnsi="Aptos" w:cs="Times New Roman"/>
          <w:lang w:val="es-ES"/>
        </w:rPr>
      </w:pPr>
      <w:r w:rsidRPr="00933720">
        <w:rPr>
          <w:rFonts w:ascii="Aptos" w:hAnsi="Aptos" w:cs="Times New Roman"/>
          <w:lang w:val="es-ES"/>
        </w:rPr>
        <w:t xml:space="preserve">“Adelantar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w:t>
      </w:r>
      <w:r w:rsidRPr="00933720">
        <w:rPr>
          <w:rFonts w:ascii="Aptos" w:hAnsi="Aptos" w:cs="Times New Roman"/>
          <w:lang w:val="es-ES"/>
        </w:rPr>
        <w:lastRenderedPageBreak/>
        <w:t>que todos los destinos contemplados en el modelo LADM-COL versión 4.1, cuenten con una tarifa definida, evitando la pérdida de ingresos fiscales.”</w:t>
      </w:r>
    </w:p>
    <w:p w14:paraId="674D3CF4" w14:textId="77777777" w:rsidR="00933720" w:rsidRPr="00933720" w:rsidRDefault="00933720" w:rsidP="00933720">
      <w:pPr>
        <w:numPr>
          <w:ilvl w:val="0"/>
          <w:numId w:val="30"/>
        </w:numPr>
        <w:spacing w:line="360" w:lineRule="auto"/>
        <w:jc w:val="both"/>
        <w:rPr>
          <w:rFonts w:ascii="Aptos" w:hAnsi="Aptos" w:cs="Times New Roman"/>
          <w:lang w:val="es-ES"/>
        </w:rPr>
      </w:pPr>
      <w:r w:rsidRPr="00933720">
        <w:rPr>
          <w:rFonts w:ascii="Aptos" w:hAnsi="Aptos" w:cs="Times New Roman"/>
          <w:lang w:val="es-ES"/>
        </w:rPr>
        <w:t>Incorporar límites y reglas de gradualidad para el incremento del IPU (y su interacción con procesos de rezago catastral), complementando la remisión al art. 6 de la Ley 44 de 1990 con los lineamientos de la Ley 1995 de 2019, a fin de otorgar seguridad jurídica.</w:t>
      </w:r>
    </w:p>
    <w:p w14:paraId="19284312" w14:textId="77777777" w:rsidR="00933720" w:rsidRPr="00933720" w:rsidRDefault="00933720" w:rsidP="00933720">
      <w:pPr>
        <w:numPr>
          <w:ilvl w:val="0"/>
          <w:numId w:val="30"/>
        </w:numPr>
        <w:spacing w:line="360" w:lineRule="auto"/>
        <w:jc w:val="both"/>
        <w:rPr>
          <w:rFonts w:ascii="Aptos" w:hAnsi="Aptos" w:cs="Times New Roman"/>
          <w:lang w:val="es-ES"/>
        </w:rPr>
      </w:pPr>
      <w:r w:rsidRPr="00933720">
        <w:rPr>
          <w:rFonts w:ascii="Aptos" w:hAnsi="Aptos" w:cs="Times New Roman"/>
          <w:lang w:val="es-ES"/>
        </w:rPr>
        <w:t>Ajustar el tratamiento de predios con múltiples destinos: asignar tarifas diferenciadas por áreas identificables conforme a su destinación económica (evitando bases presuntivas mínimas) y adoptar la clasificación catastral departamental vigente para nuevos destinos económicos.</w:t>
      </w:r>
    </w:p>
    <w:p w14:paraId="59F5D9C1" w14:textId="77777777" w:rsidR="00707E60" w:rsidRPr="00933720" w:rsidRDefault="00707E60">
      <w:pPr>
        <w:rPr>
          <w:lang w:val="es-ES"/>
        </w:rPr>
      </w:pPr>
    </w:p>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7B92C" w14:textId="77777777" w:rsidR="0034535B" w:rsidRDefault="0034535B" w:rsidP="00707E60">
      <w:pPr>
        <w:spacing w:after="0" w:line="240" w:lineRule="auto"/>
      </w:pPr>
      <w:r>
        <w:separator/>
      </w:r>
    </w:p>
  </w:endnote>
  <w:endnote w:type="continuationSeparator" w:id="0">
    <w:p w14:paraId="5501C46B" w14:textId="77777777" w:rsidR="0034535B" w:rsidRDefault="0034535B"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DDA0D" w14:textId="77777777" w:rsidR="0034535B" w:rsidRDefault="0034535B" w:rsidP="00707E60">
      <w:pPr>
        <w:spacing w:after="0" w:line="240" w:lineRule="auto"/>
      </w:pPr>
      <w:r>
        <w:separator/>
      </w:r>
    </w:p>
  </w:footnote>
  <w:footnote w:type="continuationSeparator" w:id="0">
    <w:p w14:paraId="3FAF262E" w14:textId="77777777" w:rsidR="0034535B" w:rsidRDefault="0034535B"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59162596">
              <wp:simplePos x="0" y="0"/>
              <wp:positionH relativeFrom="column">
                <wp:posOffset>38500</wp:posOffset>
              </wp:positionH>
              <wp:positionV relativeFrom="paragraph">
                <wp:posOffset>-112696</wp:posOffset>
              </wp:positionV>
              <wp:extent cx="3484345"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484345"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7D63B34B"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933720">
                            <w:rPr>
                              <w:color w:val="000000" w:themeColor="text1"/>
                              <w:sz w:val="28"/>
                              <w:szCs w:val="28"/>
                            </w:rPr>
                            <w:t>Abejorral</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3.05pt;margin-top:-8.85pt;width:274.3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7D63B34B"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933720">
                      <w:rPr>
                        <w:color w:val="000000" w:themeColor="text1"/>
                        <w:sz w:val="28"/>
                        <w:szCs w:val="28"/>
                      </w:rPr>
                      <w:t>Abejorral</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4205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06254D"/>
    <w:multiLevelType w:val="hybridMultilevel"/>
    <w:tmpl w:val="8CE80F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0024D8A"/>
    <w:multiLevelType w:val="hybridMultilevel"/>
    <w:tmpl w:val="EC0A02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85656B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80129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37385E"/>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C3475C"/>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AC1018"/>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86174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F91FF4"/>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DB7B26"/>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1E7BEA"/>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780CED"/>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E62793"/>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C62DA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9B2B40"/>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FF47F6"/>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B00E25"/>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EA4E6E"/>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5A54FD"/>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1F4DAA"/>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DF2431"/>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B250DE"/>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2D16B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E011F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E750FC5"/>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7704">
    <w:abstractNumId w:val="8"/>
  </w:num>
  <w:num w:numId="2" w16cid:durableId="1017347282">
    <w:abstractNumId w:val="13"/>
  </w:num>
  <w:num w:numId="3" w16cid:durableId="44450645">
    <w:abstractNumId w:val="21"/>
  </w:num>
  <w:num w:numId="4" w16cid:durableId="1953855267">
    <w:abstractNumId w:val="0"/>
  </w:num>
  <w:num w:numId="5" w16cid:durableId="279457733">
    <w:abstractNumId w:val="9"/>
  </w:num>
  <w:num w:numId="6" w16cid:durableId="829055416">
    <w:abstractNumId w:val="1"/>
  </w:num>
  <w:num w:numId="7" w16cid:durableId="1974747392">
    <w:abstractNumId w:val="6"/>
  </w:num>
  <w:num w:numId="8" w16cid:durableId="1342120387">
    <w:abstractNumId w:val="17"/>
  </w:num>
  <w:num w:numId="9" w16cid:durableId="350257001">
    <w:abstractNumId w:val="5"/>
  </w:num>
  <w:num w:numId="10" w16cid:durableId="1078140204">
    <w:abstractNumId w:val="10"/>
  </w:num>
  <w:num w:numId="11" w16cid:durableId="1792938771">
    <w:abstractNumId w:val="11"/>
  </w:num>
  <w:num w:numId="12" w16cid:durableId="1526560268">
    <w:abstractNumId w:val="25"/>
  </w:num>
  <w:num w:numId="13" w16cid:durableId="684139451">
    <w:abstractNumId w:val="27"/>
  </w:num>
  <w:num w:numId="14" w16cid:durableId="2066485375">
    <w:abstractNumId w:val="28"/>
  </w:num>
  <w:num w:numId="15" w16cid:durableId="1048799774">
    <w:abstractNumId w:val="4"/>
  </w:num>
  <w:num w:numId="16" w16cid:durableId="763765178">
    <w:abstractNumId w:val="15"/>
  </w:num>
  <w:num w:numId="17" w16cid:durableId="312298011">
    <w:abstractNumId w:val="20"/>
  </w:num>
  <w:num w:numId="18" w16cid:durableId="1720469911">
    <w:abstractNumId w:val="16"/>
  </w:num>
  <w:num w:numId="19" w16cid:durableId="435371494">
    <w:abstractNumId w:val="18"/>
  </w:num>
  <w:num w:numId="20" w16cid:durableId="295719448">
    <w:abstractNumId w:val="19"/>
  </w:num>
  <w:num w:numId="21" w16cid:durableId="1577745992">
    <w:abstractNumId w:val="12"/>
  </w:num>
  <w:num w:numId="22" w16cid:durableId="1267925568">
    <w:abstractNumId w:val="23"/>
  </w:num>
  <w:num w:numId="23" w16cid:durableId="1861967186">
    <w:abstractNumId w:val="7"/>
  </w:num>
  <w:num w:numId="24" w16cid:durableId="601374337">
    <w:abstractNumId w:val="24"/>
  </w:num>
  <w:num w:numId="25" w16cid:durableId="1162700760">
    <w:abstractNumId w:val="26"/>
  </w:num>
  <w:num w:numId="26" w16cid:durableId="581332385">
    <w:abstractNumId w:val="14"/>
  </w:num>
  <w:num w:numId="27" w16cid:durableId="423887808">
    <w:abstractNumId w:val="22"/>
  </w:num>
  <w:num w:numId="28" w16cid:durableId="1186863597">
    <w:abstractNumId w:val="29"/>
  </w:num>
  <w:num w:numId="29" w16cid:durableId="340359362">
    <w:abstractNumId w:val="2"/>
  </w:num>
  <w:num w:numId="30" w16cid:durableId="16192649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5161C"/>
    <w:rsid w:val="00084B98"/>
    <w:rsid w:val="00120797"/>
    <w:rsid w:val="00134527"/>
    <w:rsid w:val="001C6F8E"/>
    <w:rsid w:val="00211E44"/>
    <w:rsid w:val="00231736"/>
    <w:rsid w:val="0023618C"/>
    <w:rsid w:val="0031580C"/>
    <w:rsid w:val="0034535B"/>
    <w:rsid w:val="003650D0"/>
    <w:rsid w:val="003A7CEA"/>
    <w:rsid w:val="003E2241"/>
    <w:rsid w:val="003E2F94"/>
    <w:rsid w:val="004107CA"/>
    <w:rsid w:val="005422DF"/>
    <w:rsid w:val="005C3FCA"/>
    <w:rsid w:val="005D08ED"/>
    <w:rsid w:val="005F7A75"/>
    <w:rsid w:val="00605B4C"/>
    <w:rsid w:val="006348C8"/>
    <w:rsid w:val="00665846"/>
    <w:rsid w:val="006A249B"/>
    <w:rsid w:val="006A428E"/>
    <w:rsid w:val="006E68D4"/>
    <w:rsid w:val="00701CC9"/>
    <w:rsid w:val="00707E60"/>
    <w:rsid w:val="00723620"/>
    <w:rsid w:val="00740366"/>
    <w:rsid w:val="0075330F"/>
    <w:rsid w:val="007C2E1E"/>
    <w:rsid w:val="00813F67"/>
    <w:rsid w:val="00844CC8"/>
    <w:rsid w:val="00845F02"/>
    <w:rsid w:val="00855468"/>
    <w:rsid w:val="00933720"/>
    <w:rsid w:val="009D1788"/>
    <w:rsid w:val="009D1F9E"/>
    <w:rsid w:val="00A27409"/>
    <w:rsid w:val="00A53B01"/>
    <w:rsid w:val="00A55C9A"/>
    <w:rsid w:val="00A60686"/>
    <w:rsid w:val="00A96461"/>
    <w:rsid w:val="00AA7DD4"/>
    <w:rsid w:val="00B01FF5"/>
    <w:rsid w:val="00B9278F"/>
    <w:rsid w:val="00B9597A"/>
    <w:rsid w:val="00BC7035"/>
    <w:rsid w:val="00BE3801"/>
    <w:rsid w:val="00C04706"/>
    <w:rsid w:val="00C24423"/>
    <w:rsid w:val="00C3440A"/>
    <w:rsid w:val="00C4509C"/>
    <w:rsid w:val="00C942B0"/>
    <w:rsid w:val="00D37EF2"/>
    <w:rsid w:val="00DB14E5"/>
    <w:rsid w:val="00DD0016"/>
    <w:rsid w:val="00E20762"/>
    <w:rsid w:val="00E20840"/>
    <w:rsid w:val="00E608BE"/>
    <w:rsid w:val="00F27231"/>
    <w:rsid w:val="00F65205"/>
    <w:rsid w:val="00FA454C"/>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401</Words>
  <Characters>2286</Characters>
  <Application>Microsoft Office Word</Application>
  <DocSecurity>0</DocSecurity>
  <Lines>19</Lines>
  <Paragraphs>5</Paragraphs>
  <ScaleCrop>false</ScaleCrop>
  <Company/>
  <LinksUpToDate>false</LinksUpToDate>
  <CharactersWithSpaces>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18</cp:revision>
  <dcterms:created xsi:type="dcterms:W3CDTF">2025-10-23T17:12:00Z</dcterms:created>
  <dcterms:modified xsi:type="dcterms:W3CDTF">2025-10-24T18:09:00Z</dcterms:modified>
</cp:coreProperties>
</file>