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8F21817"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B52D90">
        <w:rPr>
          <w:color w:val="000000" w:themeColor="text1"/>
          <w:sz w:val="44"/>
          <w:szCs w:val="44"/>
        </w:rPr>
        <w:t>Abriaquí</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ACCEE97" w14:textId="77777777" w:rsidR="00ED0F6C" w:rsidRPr="00ED0F6C" w:rsidRDefault="00ED0F6C" w:rsidP="00ED0F6C">
      <w:pPr>
        <w:spacing w:line="360" w:lineRule="auto"/>
        <w:rPr>
          <w:rFonts w:ascii="Aptos" w:hAnsi="Aptos" w:cs="Times New Roman"/>
          <w:b/>
          <w:bCs/>
        </w:rPr>
      </w:pPr>
      <w:r w:rsidRPr="00ED0F6C">
        <w:rPr>
          <w:rFonts w:ascii="Aptos" w:hAnsi="Aptos" w:cs="Times New Roman"/>
        </w:rPr>
        <w:lastRenderedPageBreak/>
        <w:t>El estado actual de su normatividad tributaria se establece en el Acuerdo 017 de 2019.</w:t>
      </w:r>
    </w:p>
    <w:p w14:paraId="42E9C9E2" w14:textId="77777777" w:rsidR="00ED0F6C" w:rsidRPr="00ED0F6C" w:rsidRDefault="00ED0F6C" w:rsidP="00ED0F6C">
      <w:pPr>
        <w:spacing w:line="360" w:lineRule="auto"/>
        <w:jc w:val="both"/>
        <w:rPr>
          <w:rFonts w:ascii="Aptos" w:hAnsi="Aptos" w:cs="Times New Roman"/>
          <w:b/>
          <w:bCs/>
          <w:sz w:val="32"/>
          <w:szCs w:val="32"/>
        </w:rPr>
      </w:pPr>
      <w:r w:rsidRPr="00ED0F6C">
        <w:rPr>
          <w:rFonts w:ascii="Aptos" w:hAnsi="Aptos" w:cs="Times New Roman"/>
          <w:b/>
          <w:bCs/>
          <w:sz w:val="32"/>
          <w:szCs w:val="32"/>
        </w:rPr>
        <w:t>Hallazgos</w:t>
      </w:r>
    </w:p>
    <w:p w14:paraId="1DF2B154"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289AF46"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Se define el Impuesto Predial Unificado como renta municipal de carácter real; se precisan hecho generador, período, causación, sujeto activo y sujeto pasivo, con reglas de solidaridad y comunidad.</w:t>
      </w:r>
    </w:p>
    <w:p w14:paraId="7715B60A"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La base gravable se fija en el avalúo catastral del año anterior, con ajuste anual y posibilidad de aplicar el índice de precios al productor agropecuario cuando corresponda; la revisión del avalúo se tramita ante la autoridad catastral. Se requiere armonizar los procedimientos con la normatividad técnica vigente.</w:t>
      </w:r>
    </w:p>
    <w:p w14:paraId="16F5A4E2"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La matriz tarifaria es diferencial y progresiva en el rango 5–16 por mil y permite hasta 33 por mil para lotes urbanizados no edificados y urbanizables no urbanizados; combina criterios por estrato, uso del suelo, área y avalúo, lo que exige consistencia operativa para evitar solapamientos o indeterminaciones.</w:t>
      </w:r>
    </w:p>
    <w:p w14:paraId="68C33742"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Se fijan límites al crecimiento del impuesto después de actualización catastral, con excepciones para incorporaciones nuevas y ciertos lotes; no se observan reglas específicas para manejar rezago catastral o gradualidad posterior.</w:t>
      </w:r>
    </w:p>
    <w:p w14:paraId="242BD1EB"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La determinación oficial se realiza vía factura con mérito ejecutivo y reglas de notificación; la no recepción de la factura no exime del pago.</w:t>
      </w:r>
    </w:p>
    <w:p w14:paraId="4020F046"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Se consigna un catálogo de exclusiones y exenciones con requisitos, control y vigencias; en algunos casos se proyectan efectos sobre la sobretasa ambiental, lo que demanda verificación permanente.</w:t>
      </w:r>
    </w:p>
    <w:p w14:paraId="4AAE8758"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lastRenderedPageBreak/>
        <w:t>Se reconoce el impuesto predial compensatorio por infraestructura de generación y transmisión de energía, bajo el régimen especial aplicable.</w:t>
      </w:r>
    </w:p>
    <w:p w14:paraId="248B139C" w14:textId="77777777" w:rsidR="00ED0F6C" w:rsidRPr="00ED0F6C" w:rsidRDefault="00ED0F6C" w:rsidP="00ED0F6C">
      <w:pPr>
        <w:numPr>
          <w:ilvl w:val="0"/>
          <w:numId w:val="9"/>
        </w:numPr>
        <w:spacing w:line="360" w:lineRule="auto"/>
        <w:jc w:val="both"/>
        <w:rPr>
          <w:rFonts w:ascii="Aptos" w:hAnsi="Aptos" w:cs="Times New Roman"/>
        </w:rPr>
      </w:pPr>
      <w:r w:rsidRPr="00ED0F6C">
        <w:rPr>
          <w:rFonts w:ascii="Aptos" w:hAnsi="Aptos" w:cs="Times New Roman"/>
        </w:rPr>
        <w:t>Dentro de la matriz tarifaria se establece el grupo de Pequeña Propiedad Rural destinada a la actividad agropecuaria, definido para predios hasta dos (2) hectáreas que se asimilen a una Unidad Agrícola Familiar, con tarifa especial de 8 por mil para estratos 1 y 2; ello configura un trato diferenciado por vocación productiva y requiere lineamientos claros de elegibilidad y verificación.</w:t>
      </w:r>
    </w:p>
    <w:p w14:paraId="067C1CF2" w14:textId="77777777" w:rsidR="00ED0F6C" w:rsidRPr="00ED0F6C" w:rsidRDefault="00ED0F6C" w:rsidP="00ED0F6C">
      <w:pPr>
        <w:numPr>
          <w:ilvl w:val="0"/>
          <w:numId w:val="10"/>
        </w:numPr>
        <w:spacing w:line="360" w:lineRule="auto"/>
        <w:jc w:val="both"/>
        <w:rPr>
          <w:rFonts w:ascii="Aptos" w:hAnsi="Aptos" w:cs="Times New Roman"/>
        </w:rPr>
      </w:pPr>
      <w:r w:rsidRPr="00ED0F6C">
        <w:rPr>
          <w:rFonts w:ascii="Aptos" w:hAnsi="Aptos" w:cs="Times New Roman"/>
        </w:rPr>
        <w:t>Existen exclusiones para parques naturales y bienes de uso público y se adopta una sobretasa ambiental con destinación específica y giros obligatorios a la autoridad ambiental; se prohíben descuentos o amnistías sobre dicha sobretasa.</w:t>
      </w:r>
    </w:p>
    <w:p w14:paraId="626F1826" w14:textId="77777777" w:rsidR="00ED0F6C" w:rsidRPr="00ED0F6C" w:rsidRDefault="00ED0F6C" w:rsidP="00ED0F6C">
      <w:pPr>
        <w:numPr>
          <w:ilvl w:val="0"/>
          <w:numId w:val="10"/>
        </w:numPr>
        <w:spacing w:line="360" w:lineRule="auto"/>
        <w:jc w:val="both"/>
        <w:rPr>
          <w:rFonts w:ascii="Aptos" w:hAnsi="Aptos" w:cs="Times New Roman"/>
        </w:rPr>
      </w:pPr>
      <w:r w:rsidRPr="00ED0F6C">
        <w:rPr>
          <w:rFonts w:ascii="Aptos" w:hAnsi="Aptos" w:cs="Times New Roman"/>
        </w:rPr>
        <w:t>La regulación local de la sobretasa ambiental no precisa la tarifa o porcentaje aplicable ni define de forma explícita su base de cálculo y límites operativos; la indeterminación puede generar interpretaciones divergentes en la liquidación, afectar la exigibilidad y originar contingencias en facturación y cobro.</w:t>
      </w:r>
    </w:p>
    <w:p w14:paraId="5AFE5866" w14:textId="77777777" w:rsidR="00ED0F6C" w:rsidRPr="00ED0F6C" w:rsidRDefault="00ED0F6C" w:rsidP="00ED0F6C">
      <w:pPr>
        <w:spacing w:line="360" w:lineRule="auto"/>
        <w:jc w:val="both"/>
        <w:rPr>
          <w:rFonts w:ascii="Aptos" w:hAnsi="Aptos" w:cs="Times New Roman"/>
          <w:b/>
          <w:bCs/>
          <w:sz w:val="32"/>
          <w:szCs w:val="32"/>
        </w:rPr>
      </w:pPr>
      <w:r w:rsidRPr="00ED0F6C">
        <w:rPr>
          <w:rFonts w:ascii="Aptos" w:hAnsi="Aptos" w:cs="Times New Roman"/>
          <w:b/>
          <w:bCs/>
          <w:sz w:val="32"/>
          <w:szCs w:val="32"/>
        </w:rPr>
        <w:t>Recomendaciones</w:t>
      </w:r>
    </w:p>
    <w:p w14:paraId="6A921ECA"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2B40E24"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Consolidar la arquitectura de elementos del tributo mediante lineamientos operativos de aplicación y notificación que refuercen certeza y exigibilidad.</w:t>
      </w:r>
    </w:p>
    <w:p w14:paraId="508F3DFD"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Alinear los procedimientos catastrales y de revisión del avalúo con la Resolución 1040 de 2023; documentar metodología de ajuste anual, hitos de vigencia y autoridad competente para evitar interpretaciones divergentes.</w:t>
      </w:r>
    </w:p>
    <w:p w14:paraId="2249F49F"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lastRenderedPageBreak/>
        <w:t>Depurar la matriz tarifaria para asegurar progresividad y coherencia entre rangos de avalúo y destinos; clarificar los supuestos de tarifa hasta 33 por mil y evitar solapamientos entre criterios de estrato, uso, área y avalúo.</w:t>
      </w:r>
    </w:p>
    <w:p w14:paraId="0A3A3CD9"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Definir límites y reglas de gradualidad frente al rezago catastral y en escenarios de actualización, con topes anuales, metodología aplicativa y régimen de transición que brinden seguridad jurídica a la administración y a los contribuyentes.</w:t>
      </w:r>
    </w:p>
    <w:p w14:paraId="773D1670"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Fortalecer el procedimiento de determinación y notificación por factura (trazabilidad, constancias de publicación y archivo probatorio), para blindar el título ejecutivo y el debido proceso.</w:t>
      </w:r>
    </w:p>
    <w:p w14:paraId="7D92BD12"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Ordenar y precisar el régimen de exclusiones y exenciones (beneficiarios, requisitos, vigencias, proporcionalidad por áreas y verificación periódica), incluyendo los casos en que sus efectos se proyecten sobre la sobretasa ambiental, a fin de evitar automatismos y garantizar control.</w:t>
      </w:r>
    </w:p>
    <w:p w14:paraId="016C5B72" w14:textId="77777777" w:rsidR="00ED0F6C" w:rsidRPr="00ED0F6C" w:rsidRDefault="00ED0F6C" w:rsidP="00ED0F6C">
      <w:pPr>
        <w:numPr>
          <w:ilvl w:val="0"/>
          <w:numId w:val="11"/>
        </w:numPr>
        <w:spacing w:line="360" w:lineRule="auto"/>
        <w:jc w:val="both"/>
        <w:rPr>
          <w:rFonts w:ascii="Aptos" w:hAnsi="Aptos" w:cs="Times New Roman"/>
        </w:rPr>
      </w:pPr>
      <w:r w:rsidRPr="00ED0F6C">
        <w:rPr>
          <w:rFonts w:ascii="Aptos" w:hAnsi="Aptos" w:cs="Times New Roman"/>
        </w:rPr>
        <w:t xml:space="preserve">Precisar de forma expresa el porcentaje o sobretasa ambiental y su base de cálculo </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BE6A" w14:textId="77777777" w:rsidR="001D07C1" w:rsidRDefault="001D07C1" w:rsidP="00707E60">
      <w:pPr>
        <w:spacing w:after="0" w:line="240" w:lineRule="auto"/>
      </w:pPr>
      <w:r>
        <w:separator/>
      </w:r>
    </w:p>
  </w:endnote>
  <w:endnote w:type="continuationSeparator" w:id="0">
    <w:p w14:paraId="3D0CA0EA" w14:textId="77777777" w:rsidR="001D07C1" w:rsidRDefault="001D07C1"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1EF77" w14:textId="77777777" w:rsidR="001D07C1" w:rsidRDefault="001D07C1" w:rsidP="00707E60">
      <w:pPr>
        <w:spacing w:after="0" w:line="240" w:lineRule="auto"/>
      </w:pPr>
      <w:r>
        <w:separator/>
      </w:r>
    </w:p>
  </w:footnote>
  <w:footnote w:type="continuationSeparator" w:id="0">
    <w:p w14:paraId="14F6376F" w14:textId="77777777" w:rsidR="001D07C1" w:rsidRDefault="001D07C1"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C66624B"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C2026">
                            <w:rPr>
                              <w:color w:val="000000" w:themeColor="text1"/>
                              <w:sz w:val="28"/>
                              <w:szCs w:val="28"/>
                            </w:rPr>
                            <w:t>A</w:t>
                          </w:r>
                          <w:r w:rsidR="00B52D90">
                            <w:rPr>
                              <w:color w:val="000000" w:themeColor="text1"/>
                              <w:sz w:val="28"/>
                              <w:szCs w:val="28"/>
                            </w:rPr>
                            <w:t>briaquí</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C66624B"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C2026">
                      <w:rPr>
                        <w:color w:val="000000" w:themeColor="text1"/>
                        <w:sz w:val="28"/>
                        <w:szCs w:val="28"/>
                      </w:rPr>
                      <w:t>A</w:t>
                    </w:r>
                    <w:r w:rsidR="00B52D90">
                      <w:rPr>
                        <w:color w:val="000000" w:themeColor="text1"/>
                        <w:sz w:val="28"/>
                        <w:szCs w:val="28"/>
                      </w:rPr>
                      <w:t>briaquí</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506"/>
    <w:multiLevelType w:val="multilevel"/>
    <w:tmpl w:val="8F4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94AAF"/>
    <w:multiLevelType w:val="multilevel"/>
    <w:tmpl w:val="DAE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400B8"/>
    <w:multiLevelType w:val="multilevel"/>
    <w:tmpl w:val="882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6"/>
  </w:num>
  <w:num w:numId="2" w16cid:durableId="1017347282">
    <w:abstractNumId w:val="7"/>
  </w:num>
  <w:num w:numId="3" w16cid:durableId="44450645">
    <w:abstractNumId w:val="9"/>
  </w:num>
  <w:num w:numId="4" w16cid:durableId="1953855267">
    <w:abstractNumId w:val="1"/>
  </w:num>
  <w:num w:numId="5" w16cid:durableId="1281302291">
    <w:abstractNumId w:val="3"/>
  </w:num>
  <w:num w:numId="6" w16cid:durableId="198319745">
    <w:abstractNumId w:val="8"/>
  </w:num>
  <w:num w:numId="7" w16cid:durableId="1222793921">
    <w:abstractNumId w:val="2"/>
  </w:num>
  <w:num w:numId="8" w16cid:durableId="1663466582">
    <w:abstractNumId w:val="10"/>
  </w:num>
  <w:num w:numId="9" w16cid:durableId="325594022">
    <w:abstractNumId w:val="0"/>
  </w:num>
  <w:num w:numId="10" w16cid:durableId="1534541989">
    <w:abstractNumId w:val="4"/>
  </w:num>
  <w:num w:numId="11" w16cid:durableId="372659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C2026"/>
    <w:rsid w:val="00120797"/>
    <w:rsid w:val="00134527"/>
    <w:rsid w:val="001B556D"/>
    <w:rsid w:val="001D07C1"/>
    <w:rsid w:val="00211E44"/>
    <w:rsid w:val="0023618C"/>
    <w:rsid w:val="003650D0"/>
    <w:rsid w:val="003A7CEA"/>
    <w:rsid w:val="003E2241"/>
    <w:rsid w:val="004107CA"/>
    <w:rsid w:val="005422DF"/>
    <w:rsid w:val="005D08ED"/>
    <w:rsid w:val="005F7A75"/>
    <w:rsid w:val="00605B4C"/>
    <w:rsid w:val="00665846"/>
    <w:rsid w:val="006A249B"/>
    <w:rsid w:val="006C7AFA"/>
    <w:rsid w:val="00707E60"/>
    <w:rsid w:val="00745C46"/>
    <w:rsid w:val="00813F67"/>
    <w:rsid w:val="00844CC8"/>
    <w:rsid w:val="00845F02"/>
    <w:rsid w:val="00855468"/>
    <w:rsid w:val="009D1F9E"/>
    <w:rsid w:val="00A27409"/>
    <w:rsid w:val="00A407A7"/>
    <w:rsid w:val="00A55C9A"/>
    <w:rsid w:val="00A60686"/>
    <w:rsid w:val="00A96461"/>
    <w:rsid w:val="00AA7DD4"/>
    <w:rsid w:val="00B52D90"/>
    <w:rsid w:val="00BC7035"/>
    <w:rsid w:val="00C04706"/>
    <w:rsid w:val="00C942B0"/>
    <w:rsid w:val="00D37EF2"/>
    <w:rsid w:val="00DB14E5"/>
    <w:rsid w:val="00DD0016"/>
    <w:rsid w:val="00E20840"/>
    <w:rsid w:val="00E608BE"/>
    <w:rsid w:val="00ED0F6C"/>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8</cp:revision>
  <dcterms:created xsi:type="dcterms:W3CDTF">2025-10-23T17:12:00Z</dcterms:created>
  <dcterms:modified xsi:type="dcterms:W3CDTF">2025-10-27T19:40:00Z</dcterms:modified>
</cp:coreProperties>
</file>