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33ADB1FF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355F2D">
        <w:rPr>
          <w:color w:val="000000" w:themeColor="text1"/>
          <w:sz w:val="44"/>
          <w:szCs w:val="44"/>
        </w:rPr>
        <w:t>Amagá</w:t>
      </w:r>
      <w:r w:rsidRPr="00707E60">
        <w:rPr>
          <w:color w:val="000000" w:themeColor="text1"/>
          <w:sz w:val="44"/>
          <w:szCs w:val="44"/>
        </w:rPr>
        <w:t xml:space="preserve"> 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78CA0B8C" w14:textId="77777777" w:rsidR="000F43A6" w:rsidRPr="000F43A6" w:rsidRDefault="000F43A6" w:rsidP="000F43A6">
      <w:p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lastRenderedPageBreak/>
        <w:t>El estado actual de su normatividad tributaria se establece en los Acuerdos 017 de 2022 y 021 de 2024 (este último sustituye todo el capítulo del IPU).</w:t>
      </w:r>
    </w:p>
    <w:p w14:paraId="7A29E59A" w14:textId="77777777" w:rsidR="000F43A6" w:rsidRPr="000F43A6" w:rsidRDefault="000F43A6" w:rsidP="000F43A6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0F43A6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345A4CCB" w14:textId="77777777" w:rsidR="000F43A6" w:rsidRPr="000F43A6" w:rsidRDefault="000F43A6" w:rsidP="000F43A6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La tabla de destinos económicos requiere actualización a la versión 2025 definida por la autoridad catastral, conforme al modelo LADM-COL v4.1; además, deben armonizarse conceptos y procedimientos con catastro multipropósito.</w:t>
      </w:r>
    </w:p>
    <w:p w14:paraId="0740C75D" w14:textId="77777777" w:rsidR="000F43A6" w:rsidRPr="000F43A6" w:rsidRDefault="000F43A6" w:rsidP="000F43A6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Estructura del IPU completa desde el artículo 2 (autorización, definición, elementos y catastro).</w:t>
      </w:r>
    </w:p>
    <w:p w14:paraId="5B2CF66D" w14:textId="77777777" w:rsidR="000F43A6" w:rsidRPr="000F43A6" w:rsidRDefault="000F43A6" w:rsidP="000F43A6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Matriz tarifaria por destinos económicos con tarifas entre 5×1000 y 33×1000; los rangos de base se expresan con mínimos y máximos en salarios mínimos. Se requiere claridad operativa para la aplicación homogénea por rangos.</w:t>
      </w:r>
    </w:p>
    <w:p w14:paraId="66F6A3EA" w14:textId="77777777" w:rsidR="000F43A6" w:rsidRPr="000F43A6" w:rsidRDefault="000F43A6" w:rsidP="000F43A6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Rezago catastral: se prevé un esquema de descuento temporal sobre la tarifa para predios intervenidos (no aplica a predios nuevos) durante los años 1, 2 y 3, diferenciando urbano y rural. Falta desarrollar metodología de tránsito al régimen ordinario y evitar solapamientos con otros beneficios.</w:t>
      </w:r>
    </w:p>
    <w:p w14:paraId="1EFB2C90" w14:textId="77777777" w:rsidR="000F43A6" w:rsidRPr="000F43A6" w:rsidRDefault="000F43A6" w:rsidP="000F43A6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Beneficios por alto riesgo o zonas de inundación con tarifa de 3×1000.</w:t>
      </w:r>
    </w:p>
    <w:p w14:paraId="24E96103" w14:textId="77777777" w:rsidR="000F43A6" w:rsidRPr="000F43A6" w:rsidRDefault="000F43A6" w:rsidP="000F43A6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Descuentos por abono anticipado (15% entre el 1 de noviembre de la vigencia en curso y el 31 de enero de la siguiente) y pronto pago (10% hasta antes del 31 de marzo). La figura de abono anticipado genera caja, pero implica reconocer el tributo de manera anticipada, con eventuales efectos en la lectura de indicadores fiscales.</w:t>
      </w:r>
    </w:p>
    <w:p w14:paraId="283B7B9F" w14:textId="77777777" w:rsidR="000F43A6" w:rsidRPr="000F43A6" w:rsidRDefault="000F43A6" w:rsidP="000F43A6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Determinación oficial vía factura. La notificación por correo electrónico se prevé como mecanismo, lo que no resulta compatible con el procedimiento especial de notificación por publicación en página web y cartelera.</w:t>
      </w:r>
    </w:p>
    <w:p w14:paraId="0D0239D6" w14:textId="77777777" w:rsidR="000F43A6" w:rsidRPr="000F43A6" w:rsidRDefault="000F43A6" w:rsidP="000F43A6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 xml:space="preserve">Inmuebles de prohibido gravamen y exentos: se listan múltiples categorías (iglesias, bienes de entidades públicas, vías, juntas de acción comunal, bomberos, entidades sin ánimo de lucro, etc.), con exclusiones cuando existan contratos de arrendamiento. </w:t>
      </w:r>
    </w:p>
    <w:p w14:paraId="29718DA0" w14:textId="77777777" w:rsidR="000F43A6" w:rsidRPr="000F43A6" w:rsidRDefault="000F43A6" w:rsidP="000F43A6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 xml:space="preserve">Sobretasas y porcentajes: se fija sobretasa del 1,5×1000 y, adicionalmente, para 2025–2027 un porcentaje ambiental del 15% del recaudo del IPU. La coexistencia de ambos esquemas </w:t>
      </w:r>
      <w:r w:rsidRPr="000F43A6">
        <w:rPr>
          <w:rFonts w:ascii="Aptos" w:hAnsi="Aptos" w:cs="Times New Roman"/>
        </w:rPr>
        <w:lastRenderedPageBreak/>
        <w:t>demanda reglas de aplicación para evitar duplicidades. Sobretasa bomberil del 2% sobre el valor liquidado del IPU; alumbrado público sin cobro sobre avalúo.</w:t>
      </w:r>
    </w:p>
    <w:p w14:paraId="04530686" w14:textId="77777777" w:rsidR="000F43A6" w:rsidRPr="000F43A6" w:rsidRDefault="000F43A6" w:rsidP="000F43A6">
      <w:pPr>
        <w:numPr>
          <w:ilvl w:val="0"/>
          <w:numId w:val="9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Ambiental/uso del suelo: se otorgan beneficios por conservación (cultivos para consumo humano, bosques y fuentes hídricas) con descuento equivalente a la mitad del porcentaje de área certificada. Se requiere consolidar el procedimiento de verificación (autoridad, documentos, cómputo de área) y el control de permanencia del uso.</w:t>
      </w:r>
    </w:p>
    <w:p w14:paraId="002DFC87" w14:textId="77777777" w:rsidR="000F43A6" w:rsidRPr="000F43A6" w:rsidRDefault="000F43A6" w:rsidP="000F43A6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0F43A6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7F3D8335" w14:textId="77777777" w:rsidR="000F43A6" w:rsidRPr="000F43A6" w:rsidRDefault="000F43A6" w:rsidP="000F43A6">
      <w:pPr>
        <w:numPr>
          <w:ilvl w:val="0"/>
          <w:numId w:val="10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Actualizar integralmente el capítulo del IPU a los lineamientos de catastro multipropósito (Resolución 1040 de 2023) y adoptar la tabla de destinos económicos conforme a la versión 2025 del modelo LADM-COL v4.1, asegurando que todos los destinos cuenten con tarifa definida.</w:t>
      </w:r>
    </w:p>
    <w:p w14:paraId="75DF82FC" w14:textId="77777777" w:rsidR="000F43A6" w:rsidRPr="000F43A6" w:rsidRDefault="000F43A6" w:rsidP="000F43A6">
      <w:pPr>
        <w:numPr>
          <w:ilvl w:val="0"/>
          <w:numId w:val="10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Mantener la tarifa especial de 3×1000 solo con certificación vigente de alto riesgo o zona de inundación y con revisión anual de la autoridad competente.</w:t>
      </w:r>
    </w:p>
    <w:p w14:paraId="1AB0FA01" w14:textId="77777777" w:rsidR="000F43A6" w:rsidRPr="000F43A6" w:rsidRDefault="000F43A6" w:rsidP="000F43A6">
      <w:pPr>
        <w:numPr>
          <w:ilvl w:val="0"/>
          <w:numId w:val="10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Abono anticipado y pronto pago: explicitar su sustento, vigencia y cálculo; evaluar su impacto en la planeación fiscal y en la interpretación de indicadores para evitar distorsiones en la ejecución presupuestal.</w:t>
      </w:r>
    </w:p>
    <w:p w14:paraId="1273C6F7" w14:textId="77777777" w:rsidR="000F43A6" w:rsidRPr="000F43A6" w:rsidRDefault="000F43A6" w:rsidP="000F43A6">
      <w:pPr>
        <w:numPr>
          <w:ilvl w:val="0"/>
          <w:numId w:val="10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Notificación: suprimir la notificación por correo electrónico como mecanismo principal y ceñirse al procedimiento especial de publicación (página web y cartelera), conservando el correo únicamente como medio complementario de divulgación.</w:t>
      </w:r>
    </w:p>
    <w:p w14:paraId="7EA4B9F5" w14:textId="77777777" w:rsidR="000F43A6" w:rsidRPr="000F43A6" w:rsidRDefault="000F43A6" w:rsidP="000F43A6">
      <w:pPr>
        <w:numPr>
          <w:ilvl w:val="0"/>
          <w:numId w:val="10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Prohibido gravamen, exenciones y beneficios: diferenciar claramente cada categoría, definir requisitos documentales, autoridad verificadora, vigencia, causales de pérdida y control sobre predios arrendados; unificar el trámite en un solo protocolo administrativo.</w:t>
      </w:r>
    </w:p>
    <w:p w14:paraId="107EF01B" w14:textId="77777777" w:rsidR="000F43A6" w:rsidRPr="000F43A6" w:rsidRDefault="000F43A6" w:rsidP="000F43A6">
      <w:pPr>
        <w:numPr>
          <w:ilvl w:val="0"/>
          <w:numId w:val="10"/>
        </w:numPr>
        <w:spacing w:line="360" w:lineRule="auto"/>
        <w:jc w:val="both"/>
        <w:rPr>
          <w:rFonts w:ascii="Aptos" w:hAnsi="Aptos" w:cs="Times New Roman"/>
        </w:rPr>
      </w:pPr>
      <w:r w:rsidRPr="000F43A6">
        <w:rPr>
          <w:rFonts w:ascii="Aptos" w:hAnsi="Aptos" w:cs="Times New Roman"/>
        </w:rPr>
        <w:t>Esquemas ambiental y bomberil: establecer regla expresa de no concurrencia entre el 1,5×1000 sobre avalúo y el 15% sobre recaudo (2025–2027), definiendo cuál aplica y en qué condiciones; mantener la sobretasa bomberil como porcentaje sobre el IPU liquidado e incorporar controles de conciliación con la facturación.</w:t>
      </w:r>
    </w:p>
    <w:p w14:paraId="597059D7" w14:textId="77777777" w:rsidR="00707E60" w:rsidRDefault="00707E60"/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7D078" w14:textId="77777777" w:rsidR="00E21E0F" w:rsidRDefault="00E21E0F" w:rsidP="00707E60">
      <w:pPr>
        <w:spacing w:after="0" w:line="240" w:lineRule="auto"/>
      </w:pPr>
      <w:r>
        <w:separator/>
      </w:r>
    </w:p>
  </w:endnote>
  <w:endnote w:type="continuationSeparator" w:id="0">
    <w:p w14:paraId="568D4C5E" w14:textId="77777777" w:rsidR="00E21E0F" w:rsidRDefault="00E21E0F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0001" w14:textId="77777777" w:rsidR="00E21E0F" w:rsidRDefault="00E21E0F" w:rsidP="00707E60">
      <w:pPr>
        <w:spacing w:after="0" w:line="240" w:lineRule="auto"/>
      </w:pPr>
      <w:r>
        <w:separator/>
      </w:r>
    </w:p>
  </w:footnote>
  <w:footnote w:type="continuationSeparator" w:id="0">
    <w:p w14:paraId="1EA73A1C" w14:textId="77777777" w:rsidR="00E21E0F" w:rsidRDefault="00E21E0F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768CCEC2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533261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Amagá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768CCEC2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533261">
                      <w:rPr>
                        <w:color w:val="000000" w:themeColor="text1"/>
                        <w:sz w:val="28"/>
                        <w:szCs w:val="28"/>
                      </w:rPr>
                      <w:t>Amagá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0467A"/>
    <w:multiLevelType w:val="multilevel"/>
    <w:tmpl w:val="D2BE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B2B4C"/>
    <w:multiLevelType w:val="multilevel"/>
    <w:tmpl w:val="847A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05459"/>
    <w:multiLevelType w:val="multilevel"/>
    <w:tmpl w:val="3B1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1089B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FC2704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9E7972"/>
    <w:multiLevelType w:val="multilevel"/>
    <w:tmpl w:val="B91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3"/>
  </w:num>
  <w:num w:numId="2" w16cid:durableId="1017347282">
    <w:abstractNumId w:val="5"/>
  </w:num>
  <w:num w:numId="3" w16cid:durableId="44450645">
    <w:abstractNumId w:val="6"/>
  </w:num>
  <w:num w:numId="4" w16cid:durableId="1953855267">
    <w:abstractNumId w:val="0"/>
  </w:num>
  <w:num w:numId="5" w16cid:durableId="280110805">
    <w:abstractNumId w:val="7"/>
  </w:num>
  <w:num w:numId="6" w16cid:durableId="1238442786">
    <w:abstractNumId w:val="8"/>
  </w:num>
  <w:num w:numId="7" w16cid:durableId="1845389894">
    <w:abstractNumId w:val="9"/>
  </w:num>
  <w:num w:numId="8" w16cid:durableId="1524637247">
    <w:abstractNumId w:val="4"/>
  </w:num>
  <w:num w:numId="9" w16cid:durableId="305814874">
    <w:abstractNumId w:val="2"/>
  </w:num>
  <w:num w:numId="10" w16cid:durableId="565649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84B98"/>
    <w:rsid w:val="000F43A6"/>
    <w:rsid w:val="00120797"/>
    <w:rsid w:val="00134527"/>
    <w:rsid w:val="00211E44"/>
    <w:rsid w:val="0023618C"/>
    <w:rsid w:val="00301F8E"/>
    <w:rsid w:val="00312D84"/>
    <w:rsid w:val="00355F2D"/>
    <w:rsid w:val="003650D0"/>
    <w:rsid w:val="003A7CEA"/>
    <w:rsid w:val="003E2241"/>
    <w:rsid w:val="004107CA"/>
    <w:rsid w:val="004A51C7"/>
    <w:rsid w:val="00533261"/>
    <w:rsid w:val="005422DF"/>
    <w:rsid w:val="005D08ED"/>
    <w:rsid w:val="005F7A75"/>
    <w:rsid w:val="00605B4C"/>
    <w:rsid w:val="00665846"/>
    <w:rsid w:val="006A249B"/>
    <w:rsid w:val="00707E60"/>
    <w:rsid w:val="007D1D7D"/>
    <w:rsid w:val="00813F67"/>
    <w:rsid w:val="00844CC8"/>
    <w:rsid w:val="00845F02"/>
    <w:rsid w:val="00855468"/>
    <w:rsid w:val="0092225F"/>
    <w:rsid w:val="009D1F9E"/>
    <w:rsid w:val="00A27409"/>
    <w:rsid w:val="00A55C9A"/>
    <w:rsid w:val="00A60686"/>
    <w:rsid w:val="00A96461"/>
    <w:rsid w:val="00AA7DD4"/>
    <w:rsid w:val="00B20A83"/>
    <w:rsid w:val="00C04706"/>
    <w:rsid w:val="00C942B0"/>
    <w:rsid w:val="00D37EF2"/>
    <w:rsid w:val="00DB14E5"/>
    <w:rsid w:val="00DD0016"/>
    <w:rsid w:val="00E20840"/>
    <w:rsid w:val="00E21E0F"/>
    <w:rsid w:val="00E608BE"/>
    <w:rsid w:val="00F27231"/>
    <w:rsid w:val="00F65205"/>
    <w:rsid w:val="00FD1684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11</cp:revision>
  <dcterms:created xsi:type="dcterms:W3CDTF">2025-10-23T17:12:00Z</dcterms:created>
  <dcterms:modified xsi:type="dcterms:W3CDTF">2025-10-30T14:00:00Z</dcterms:modified>
</cp:coreProperties>
</file>