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0E30EF69"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0466CC">
        <w:rPr>
          <w:color w:val="000000" w:themeColor="text1"/>
          <w:sz w:val="44"/>
          <w:szCs w:val="44"/>
        </w:rPr>
        <w:t>Angelópolis</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BF8A4A9" w14:textId="77777777" w:rsidR="000466CC" w:rsidRPr="000466CC" w:rsidRDefault="000466CC" w:rsidP="000466CC">
      <w:pPr>
        <w:spacing w:line="360" w:lineRule="auto"/>
        <w:jc w:val="both"/>
        <w:rPr>
          <w:rFonts w:ascii="Aptos" w:hAnsi="Aptos" w:cs="Times New Roman"/>
        </w:rPr>
      </w:pPr>
      <w:r w:rsidRPr="000466CC">
        <w:rPr>
          <w:rFonts w:ascii="Aptos" w:hAnsi="Aptos" w:cs="Times New Roman"/>
        </w:rPr>
        <w:lastRenderedPageBreak/>
        <w:t>El estado actual de su normatividad tributaria: En el acuerdo 018 de 2022.</w:t>
      </w:r>
    </w:p>
    <w:p w14:paraId="3CD1C535" w14:textId="77777777" w:rsidR="000466CC" w:rsidRPr="000466CC" w:rsidRDefault="000466CC" w:rsidP="000466CC">
      <w:pPr>
        <w:spacing w:line="360" w:lineRule="auto"/>
        <w:jc w:val="both"/>
        <w:rPr>
          <w:rFonts w:ascii="Aptos" w:hAnsi="Aptos" w:cs="Times New Roman"/>
          <w:b/>
          <w:bCs/>
          <w:sz w:val="32"/>
          <w:szCs w:val="32"/>
        </w:rPr>
      </w:pPr>
      <w:r w:rsidRPr="000466CC">
        <w:rPr>
          <w:rFonts w:ascii="Aptos" w:hAnsi="Aptos" w:cs="Times New Roman"/>
          <w:b/>
          <w:bCs/>
          <w:sz w:val="32"/>
          <w:szCs w:val="32"/>
        </w:rPr>
        <w:t>Hallazgos</w:t>
      </w:r>
    </w:p>
    <w:p w14:paraId="5687459D" w14:textId="77777777" w:rsidR="000466CC" w:rsidRPr="000466CC" w:rsidRDefault="000466CC" w:rsidP="000466CC">
      <w:pPr>
        <w:numPr>
          <w:ilvl w:val="0"/>
          <w:numId w:val="5"/>
        </w:numPr>
        <w:spacing w:line="360" w:lineRule="auto"/>
        <w:jc w:val="both"/>
        <w:rPr>
          <w:rFonts w:ascii="Aptos" w:hAnsi="Aptos" w:cs="Times New Roman"/>
        </w:rPr>
      </w:pPr>
      <w:r w:rsidRPr="000466C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Angelópolis, la matriz tarifaria se soporta en una versión anterior del LADM-COL y requiere actualización a la versión 4.01 (2025).</w:t>
      </w:r>
    </w:p>
    <w:p w14:paraId="1E867D31" w14:textId="77777777" w:rsidR="000466CC" w:rsidRPr="000466CC" w:rsidRDefault="000466CC" w:rsidP="000466CC">
      <w:pPr>
        <w:numPr>
          <w:ilvl w:val="0"/>
          <w:numId w:val="5"/>
        </w:numPr>
        <w:spacing w:line="360" w:lineRule="auto"/>
        <w:jc w:val="both"/>
        <w:rPr>
          <w:rFonts w:ascii="Aptos" w:hAnsi="Aptos" w:cs="Times New Roman"/>
        </w:rPr>
      </w:pPr>
      <w:r w:rsidRPr="000466CC">
        <w:rPr>
          <w:rFonts w:ascii="Aptos" w:hAnsi="Aptos" w:cs="Times New Roman"/>
        </w:rPr>
        <w:t>Falta de límites específicos para incrementos derivados de rezago catastral u otras formas de actualización: aunque el Estatuto remite al artículo 6 de la Ley 44 de 1990, no existe regulación propia adicional, con riesgo de variaciones desproporcionadas.</w:t>
      </w:r>
    </w:p>
    <w:p w14:paraId="287D7C85" w14:textId="77777777" w:rsidR="000466CC" w:rsidRPr="000466CC" w:rsidRDefault="000466CC" w:rsidP="000466CC">
      <w:pPr>
        <w:numPr>
          <w:ilvl w:val="0"/>
          <w:numId w:val="5"/>
        </w:numPr>
        <w:spacing w:line="360" w:lineRule="auto"/>
        <w:jc w:val="both"/>
        <w:rPr>
          <w:rFonts w:ascii="Aptos" w:hAnsi="Aptos" w:cs="Times New Roman"/>
        </w:rPr>
      </w:pPr>
      <w:r w:rsidRPr="000466CC">
        <w:rPr>
          <w:rFonts w:ascii="Aptos" w:hAnsi="Aptos" w:cs="Times New Roman"/>
        </w:rPr>
        <w:t>Sobretasa bomberil: el Estatuto la vincula al IPU como hecho generador, pero la tarifa se fija en 0,230 por mil sobre el avalúo catastral; la disonancia entre hecho generador y base gravable genera inconsistencia técnica y expone a incrementos elevados ante actualizaciones catastrales.</w:t>
      </w:r>
    </w:p>
    <w:p w14:paraId="711ECB3C" w14:textId="77777777" w:rsidR="000466CC" w:rsidRPr="000466CC" w:rsidRDefault="000466CC" w:rsidP="000466CC">
      <w:pPr>
        <w:numPr>
          <w:ilvl w:val="0"/>
          <w:numId w:val="5"/>
        </w:numPr>
        <w:spacing w:line="360" w:lineRule="auto"/>
        <w:jc w:val="both"/>
        <w:rPr>
          <w:rFonts w:ascii="Aptos" w:hAnsi="Aptos" w:cs="Times New Roman"/>
        </w:rPr>
      </w:pPr>
      <w:r w:rsidRPr="000466CC">
        <w:rPr>
          <w:rFonts w:ascii="Aptos" w:hAnsi="Aptos" w:cs="Times New Roman"/>
        </w:rPr>
        <w:t>Alumbrado público: se establece como sobretasa calculada sobre el avalúo catastral; la indexación directa al avalúo, sumada a la ausencia de límites por rezago, reproduce el riesgo de aumentos desproporcionados.</w:t>
      </w:r>
    </w:p>
    <w:p w14:paraId="4567C398" w14:textId="77777777" w:rsidR="000466CC" w:rsidRPr="000466CC" w:rsidRDefault="000466CC" w:rsidP="000466CC">
      <w:pPr>
        <w:numPr>
          <w:ilvl w:val="0"/>
          <w:numId w:val="5"/>
        </w:numPr>
        <w:spacing w:line="360" w:lineRule="auto"/>
        <w:jc w:val="both"/>
        <w:rPr>
          <w:rFonts w:ascii="Aptos" w:hAnsi="Aptos" w:cs="Times New Roman"/>
        </w:rPr>
      </w:pPr>
      <w:r w:rsidRPr="000466CC">
        <w:rPr>
          <w:rFonts w:ascii="Aptos" w:hAnsi="Aptos" w:cs="Times New Roman"/>
        </w:rPr>
        <w:t>Porcentaje ambiental: fijado en 15 % del recaudo total del IPU.</w:t>
      </w:r>
    </w:p>
    <w:p w14:paraId="38C76F5E" w14:textId="77777777" w:rsidR="000466CC" w:rsidRPr="000466CC" w:rsidRDefault="000466CC" w:rsidP="000466CC">
      <w:pPr>
        <w:numPr>
          <w:ilvl w:val="0"/>
          <w:numId w:val="5"/>
        </w:numPr>
        <w:spacing w:line="360" w:lineRule="auto"/>
        <w:jc w:val="both"/>
        <w:rPr>
          <w:rFonts w:ascii="Aptos" w:hAnsi="Aptos" w:cs="Times New Roman"/>
        </w:rPr>
      </w:pPr>
      <w:r w:rsidRPr="000466CC">
        <w:rPr>
          <w:rFonts w:ascii="Aptos" w:hAnsi="Aptos" w:cs="Times New Roman"/>
        </w:rPr>
        <w:t>El ET no incorpora tratamientos diferenciados o beneficios por condiciones ambientales</w:t>
      </w:r>
    </w:p>
    <w:p w14:paraId="5608381F" w14:textId="77777777" w:rsidR="000466CC" w:rsidRPr="000466CC" w:rsidRDefault="000466CC" w:rsidP="000466CC">
      <w:pPr>
        <w:spacing w:line="360" w:lineRule="auto"/>
        <w:ind w:left="720"/>
        <w:jc w:val="both"/>
        <w:rPr>
          <w:rFonts w:ascii="Aptos" w:hAnsi="Aptos" w:cs="Times New Roman"/>
        </w:rPr>
      </w:pPr>
    </w:p>
    <w:p w14:paraId="145DE856" w14:textId="77777777" w:rsidR="000466CC" w:rsidRPr="000466CC" w:rsidRDefault="000466CC" w:rsidP="000466CC">
      <w:pPr>
        <w:spacing w:line="360" w:lineRule="auto"/>
        <w:jc w:val="both"/>
        <w:rPr>
          <w:rFonts w:ascii="Aptos" w:hAnsi="Aptos" w:cs="Times New Roman"/>
          <w:b/>
          <w:bCs/>
          <w:sz w:val="32"/>
          <w:szCs w:val="32"/>
        </w:rPr>
      </w:pPr>
      <w:r w:rsidRPr="000466CC">
        <w:rPr>
          <w:rFonts w:ascii="Aptos" w:hAnsi="Aptos" w:cs="Times New Roman"/>
          <w:b/>
          <w:bCs/>
          <w:sz w:val="32"/>
          <w:szCs w:val="32"/>
        </w:rPr>
        <w:t>Recomendaciones</w:t>
      </w:r>
    </w:p>
    <w:p w14:paraId="71A6F45F" w14:textId="77777777" w:rsidR="000466CC" w:rsidRPr="000466CC" w:rsidRDefault="000466CC" w:rsidP="000466CC">
      <w:pPr>
        <w:numPr>
          <w:ilvl w:val="0"/>
          <w:numId w:val="6"/>
        </w:numPr>
        <w:spacing w:line="360" w:lineRule="auto"/>
        <w:jc w:val="both"/>
        <w:rPr>
          <w:rFonts w:ascii="Aptos" w:hAnsi="Aptos" w:cs="Times New Roman"/>
        </w:rPr>
      </w:pPr>
      <w:r w:rsidRPr="000466CC">
        <w:rPr>
          <w:rFonts w:ascii="Aptos" w:hAnsi="Aptos" w:cs="Times New Roman"/>
        </w:rPr>
        <w:t xml:space="preserve">Adelantar un proceso de actualización normativa que armonice la regulación con las disposiciones más recientes: adoptar los lineamientos de la Resolución 1040 de 2023 en materia catastral y actualizar la tabla de destinos económicos conforme a la Resolución </w:t>
      </w:r>
      <w:r w:rsidRPr="000466CC">
        <w:rPr>
          <w:rFonts w:ascii="Aptos" w:hAnsi="Aptos" w:cs="Times New Roman"/>
        </w:rPr>
        <w:lastRenderedPageBreak/>
        <w:t>2025060163216. Con ello, todos los destinos del LADM-COL v4.1 contarán con tarifa definida, evitando pérdida de ingresos fiscales.</w:t>
      </w:r>
    </w:p>
    <w:p w14:paraId="2CF9C524" w14:textId="77777777" w:rsidR="000466CC" w:rsidRPr="000466CC" w:rsidRDefault="000466CC" w:rsidP="000466CC">
      <w:pPr>
        <w:numPr>
          <w:ilvl w:val="0"/>
          <w:numId w:val="6"/>
        </w:numPr>
        <w:spacing w:line="360" w:lineRule="auto"/>
        <w:jc w:val="both"/>
        <w:rPr>
          <w:rFonts w:ascii="Aptos" w:hAnsi="Aptos" w:cs="Times New Roman"/>
        </w:rPr>
      </w:pPr>
      <w:r w:rsidRPr="000466CC">
        <w:rPr>
          <w:rFonts w:ascii="Aptos" w:hAnsi="Aptos" w:cs="Times New Roman"/>
        </w:rPr>
        <w:t>Establecer límites y reglas de gradualidad específicos para incrementos derivados del rezago catastral, complementando la remisión al artículo 6 de la Ley 44 de 1990, a fin de otorgar certeza y seguridad jurídica.</w:t>
      </w:r>
    </w:p>
    <w:p w14:paraId="050CCDD3" w14:textId="77777777" w:rsidR="000466CC" w:rsidRPr="000466CC" w:rsidRDefault="000466CC" w:rsidP="000466CC">
      <w:pPr>
        <w:numPr>
          <w:ilvl w:val="0"/>
          <w:numId w:val="6"/>
        </w:numPr>
        <w:spacing w:line="360" w:lineRule="auto"/>
        <w:jc w:val="both"/>
        <w:rPr>
          <w:rFonts w:ascii="Aptos" w:hAnsi="Aptos" w:cs="Times New Roman"/>
        </w:rPr>
      </w:pPr>
      <w:r w:rsidRPr="000466CC">
        <w:rPr>
          <w:rFonts w:ascii="Aptos" w:hAnsi="Aptos" w:cs="Times New Roman"/>
        </w:rPr>
        <w:t>Corregir la inconsistencia de la sobretasa bomberil: definir de manera expresa y coherente la base gravable (si recae sobre el IPU liquidado o sobre el avalúo catastral) para alinear el hecho generador con la base y evitar incrementos indebidos por actualización catastral.</w:t>
      </w:r>
    </w:p>
    <w:p w14:paraId="5740BFAA" w14:textId="77777777" w:rsidR="000466CC" w:rsidRPr="000466CC" w:rsidRDefault="000466CC" w:rsidP="000466CC">
      <w:pPr>
        <w:numPr>
          <w:ilvl w:val="0"/>
          <w:numId w:val="6"/>
        </w:numPr>
        <w:spacing w:line="360" w:lineRule="auto"/>
        <w:jc w:val="both"/>
        <w:rPr>
          <w:rFonts w:ascii="Aptos" w:hAnsi="Aptos" w:cs="Times New Roman"/>
        </w:rPr>
      </w:pPr>
      <w:r w:rsidRPr="000466CC">
        <w:rPr>
          <w:rFonts w:ascii="Aptos" w:hAnsi="Aptos" w:cs="Times New Roman"/>
        </w:rPr>
        <w:t>Precisar el método de determinación del alumbrado público: confirmar si la base gravable es el avalúo catastral y fijar parámetros de limitación frente al rezago catastral, con el fin de prevenir variaciones desproporcionadas.</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3F9B8" w14:textId="77777777" w:rsidR="00031CED" w:rsidRDefault="00031CED" w:rsidP="00707E60">
      <w:pPr>
        <w:spacing w:after="0" w:line="240" w:lineRule="auto"/>
      </w:pPr>
      <w:r>
        <w:separator/>
      </w:r>
    </w:p>
  </w:endnote>
  <w:endnote w:type="continuationSeparator" w:id="0">
    <w:p w14:paraId="5B74EE95" w14:textId="77777777" w:rsidR="00031CED" w:rsidRDefault="00031CED"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4196" w14:textId="77777777" w:rsidR="00031CED" w:rsidRDefault="00031CED" w:rsidP="00707E60">
      <w:pPr>
        <w:spacing w:after="0" w:line="240" w:lineRule="auto"/>
      </w:pPr>
      <w:r>
        <w:separator/>
      </w:r>
    </w:p>
  </w:footnote>
  <w:footnote w:type="continuationSeparator" w:id="0">
    <w:p w14:paraId="7B1A250C" w14:textId="77777777" w:rsidR="00031CED" w:rsidRDefault="00031CED"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758524F"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466CC">
                            <w:rPr>
                              <w:color w:val="000000" w:themeColor="text1"/>
                              <w:sz w:val="28"/>
                              <w:szCs w:val="28"/>
                            </w:rPr>
                            <w:t xml:space="preserve">Angelópolis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758524F"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466CC">
                      <w:rPr>
                        <w:color w:val="000000" w:themeColor="text1"/>
                        <w:sz w:val="28"/>
                        <w:szCs w:val="28"/>
                      </w:rPr>
                      <w:t xml:space="preserve">Angelópolis </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C38E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F53DB"/>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2"/>
  </w:num>
  <w:num w:numId="2" w16cid:durableId="1017347282">
    <w:abstractNumId w:val="4"/>
  </w:num>
  <w:num w:numId="3" w16cid:durableId="44450645">
    <w:abstractNumId w:val="5"/>
  </w:num>
  <w:num w:numId="4" w16cid:durableId="1953855267">
    <w:abstractNumId w:val="0"/>
  </w:num>
  <w:num w:numId="5" w16cid:durableId="1216625422">
    <w:abstractNumId w:val="1"/>
  </w:num>
  <w:num w:numId="6" w16cid:durableId="139004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31CED"/>
    <w:rsid w:val="000466CC"/>
    <w:rsid w:val="00084B98"/>
    <w:rsid w:val="00120797"/>
    <w:rsid w:val="00134527"/>
    <w:rsid w:val="00211E44"/>
    <w:rsid w:val="0023618C"/>
    <w:rsid w:val="003650D0"/>
    <w:rsid w:val="003A7CEA"/>
    <w:rsid w:val="003E2241"/>
    <w:rsid w:val="004107CA"/>
    <w:rsid w:val="005422DF"/>
    <w:rsid w:val="005D08ED"/>
    <w:rsid w:val="005F7A75"/>
    <w:rsid w:val="00605B4C"/>
    <w:rsid w:val="00665846"/>
    <w:rsid w:val="006A249B"/>
    <w:rsid w:val="00707E60"/>
    <w:rsid w:val="00813F67"/>
    <w:rsid w:val="00844CC8"/>
    <w:rsid w:val="00845F02"/>
    <w:rsid w:val="00855468"/>
    <w:rsid w:val="009D1F9E"/>
    <w:rsid w:val="00A27409"/>
    <w:rsid w:val="00A55C9A"/>
    <w:rsid w:val="00A60686"/>
    <w:rsid w:val="00A96461"/>
    <w:rsid w:val="00AA7DD4"/>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cp:revision>
  <dcterms:created xsi:type="dcterms:W3CDTF">2025-10-23T19:07:00Z</dcterms:created>
  <dcterms:modified xsi:type="dcterms:W3CDTF">2025-10-23T19:07:00Z</dcterms:modified>
</cp:coreProperties>
</file>