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24C321DE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4E972D6" w14:textId="77777777" w:rsidR="00DD0016" w:rsidRDefault="00DD0016" w:rsidP="00DD0016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121FC65E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737A07">
        <w:rPr>
          <w:color w:val="000000" w:themeColor="text1"/>
          <w:sz w:val="44"/>
          <w:szCs w:val="44"/>
        </w:rPr>
        <w:t>Caucasia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5C9DCB25" w14:textId="77777777" w:rsidR="00707E60" w:rsidRDefault="00707E60"/>
    <w:p w14:paraId="39D12F64" w14:textId="77777777" w:rsidR="00476E19" w:rsidRPr="00F57929" w:rsidRDefault="00476E19" w:rsidP="00476E19">
      <w:pPr>
        <w:spacing w:line="360" w:lineRule="auto"/>
      </w:pPr>
      <w:r w:rsidRPr="00F57929">
        <w:lastRenderedPageBreak/>
        <w:t>El estado actual de su normatividad tributaria se establece en el Acuerdo 018 de 2017,modificado por el Acuerdo 020 de 2018.</w:t>
      </w:r>
    </w:p>
    <w:p w14:paraId="2913F260" w14:textId="77777777" w:rsidR="00476E19" w:rsidRPr="00E51759" w:rsidRDefault="00476E19" w:rsidP="00476E19">
      <w:pPr>
        <w:spacing w:line="360" w:lineRule="auto"/>
        <w:jc w:val="both"/>
        <w:rPr>
          <w:b/>
          <w:bCs/>
          <w:sz w:val="32"/>
          <w:szCs w:val="32"/>
        </w:rPr>
      </w:pPr>
      <w:r w:rsidRPr="00E51759">
        <w:rPr>
          <w:b/>
          <w:bCs/>
          <w:sz w:val="32"/>
          <w:szCs w:val="32"/>
        </w:rPr>
        <w:t>Hallazgos</w:t>
      </w:r>
    </w:p>
    <w:p w14:paraId="7D461C5F" w14:textId="77777777" w:rsidR="00476E19" w:rsidRDefault="00476E19" w:rsidP="00476E19">
      <w:pPr>
        <w:numPr>
          <w:ilvl w:val="0"/>
          <w:numId w:val="35"/>
        </w:numPr>
        <w:spacing w:line="360" w:lineRule="auto"/>
        <w:jc w:val="both"/>
      </w:pPr>
      <w:r w:rsidRPr="00F57929">
        <w:t>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Municipio a pérdidas por falta de un elemento esencial del tributo.</w:t>
      </w:r>
    </w:p>
    <w:p w14:paraId="05BB5E01" w14:textId="77777777" w:rsidR="00476E19" w:rsidRPr="00F57929" w:rsidRDefault="00476E19" w:rsidP="00476E19">
      <w:pPr>
        <w:numPr>
          <w:ilvl w:val="0"/>
          <w:numId w:val="35"/>
        </w:numPr>
        <w:spacing w:line="360" w:lineRule="auto"/>
        <w:jc w:val="both"/>
      </w:pPr>
      <w:r w:rsidRPr="007839DD">
        <w:t>Los procedimientos catastrales y definiciones técnicas permanecen anclados en marcos anteriores; no se evidencia adopción expresa de la Resolución 1040 de 2023 del IGAC.</w:t>
      </w:r>
    </w:p>
    <w:p w14:paraId="0011F8A6" w14:textId="77777777" w:rsidR="00476E19" w:rsidRPr="00F57929" w:rsidRDefault="00476E19" w:rsidP="00476E19">
      <w:pPr>
        <w:numPr>
          <w:ilvl w:val="0"/>
          <w:numId w:val="35"/>
        </w:numPr>
        <w:spacing w:line="360" w:lineRule="auto"/>
        <w:jc w:val="both"/>
      </w:pPr>
      <w:r w:rsidRPr="00F57929">
        <w:t>Inconsistencia</w:t>
      </w:r>
      <w:r>
        <w:t xml:space="preserve"> del enunciado</w:t>
      </w:r>
      <w:r w:rsidRPr="00F57929">
        <w:t xml:space="preserve"> normativa en el tope general de tarifas: el enunciado del artículo 15 fija un rango “entre 5‰ y 10‰ (según estrato)”, pero la propia matriz tarifaria del mismo artículo establece tarifas de hasta 16‰ </w:t>
      </w:r>
    </w:p>
    <w:p w14:paraId="4C7CB931" w14:textId="77777777" w:rsidR="00476E19" w:rsidRPr="00F57929" w:rsidRDefault="00476E19" w:rsidP="00476E19">
      <w:pPr>
        <w:numPr>
          <w:ilvl w:val="0"/>
          <w:numId w:val="35"/>
        </w:numPr>
        <w:spacing w:line="360" w:lineRule="auto"/>
        <w:jc w:val="both"/>
      </w:pPr>
      <w:r w:rsidRPr="00F57929">
        <w:t>Límites al impuesto a pagar: (i) tope por “doble del impuesto del año anterior” (máximo +100%), sin aplicación cuando hay mutaciones ni para lotes urbanizables no urbanizados o urbanizados no edificados. (ii): límite por incremento tarifario (máximo +25% vs. el impuesto del año anterior), con excepción para lotes y con tope especial hasta 33‰</w:t>
      </w:r>
      <w:r>
        <w:t>.</w:t>
      </w:r>
    </w:p>
    <w:p w14:paraId="67D9722E" w14:textId="77777777" w:rsidR="00476E19" w:rsidRPr="00F57929" w:rsidRDefault="00476E19" w:rsidP="00476E19">
      <w:pPr>
        <w:numPr>
          <w:ilvl w:val="0"/>
          <w:numId w:val="35"/>
        </w:numPr>
        <w:spacing w:line="360" w:lineRule="auto"/>
        <w:jc w:val="both"/>
      </w:pPr>
      <w:r w:rsidRPr="00F57929">
        <w:t>Pronto pago: descuento del 15% para pago en el primer trimestre</w:t>
      </w:r>
      <w:r>
        <w:t>.</w:t>
      </w:r>
    </w:p>
    <w:p w14:paraId="1BFE2CF9" w14:textId="77777777" w:rsidR="00476E19" w:rsidRPr="00F57929" w:rsidRDefault="00476E19" w:rsidP="00476E19">
      <w:pPr>
        <w:numPr>
          <w:ilvl w:val="0"/>
          <w:numId w:val="35"/>
        </w:numPr>
        <w:spacing w:line="360" w:lineRule="auto"/>
        <w:jc w:val="both"/>
      </w:pPr>
      <w:r>
        <w:t>Múltiples exenciones</w:t>
      </w:r>
      <w:r w:rsidRPr="00F57929">
        <w:t>: culto, bienes de uso público, bienes municipales, cementerios, víctimas de la violencia y desplazados (con un término de 2 años), entidades del sector defensa y humanitarias (Cruz Roja, Defensa Civil, Cuerpo de Bomberos), instituciones de educación superior pública asilos/centros vida sin ánimo de lucro hogares infantiles reconocidos por ICBF y Juntas de Acción Comunal</w:t>
      </w:r>
      <w:r>
        <w:t>.</w:t>
      </w:r>
    </w:p>
    <w:p w14:paraId="01101345" w14:textId="77777777" w:rsidR="00476E19" w:rsidRPr="00F57929" w:rsidRDefault="00476E19" w:rsidP="00476E19">
      <w:pPr>
        <w:numPr>
          <w:ilvl w:val="0"/>
          <w:numId w:val="35"/>
        </w:numPr>
        <w:spacing w:line="360" w:lineRule="auto"/>
        <w:jc w:val="both"/>
      </w:pPr>
      <w:r w:rsidRPr="00F57929">
        <w:t>Incentivo a</w:t>
      </w:r>
      <w:r>
        <w:t xml:space="preserve"> predios de conservación de</w:t>
      </w:r>
      <w:r w:rsidRPr="00F57929">
        <w:t>l patrimonio arquitectónico</w:t>
      </w:r>
      <w:r>
        <w:t>,</w:t>
      </w:r>
      <w:r w:rsidRPr="00F57929">
        <w:t xml:space="preserve"> rebaja</w:t>
      </w:r>
      <w:r>
        <w:t xml:space="preserve"> en el IPU</w:t>
      </w:r>
      <w:r w:rsidRPr="00F57929">
        <w:t xml:space="preserve"> entre 5% y 30% condicionada a certificación de Planeación</w:t>
      </w:r>
    </w:p>
    <w:p w14:paraId="60BFE421" w14:textId="77777777" w:rsidR="00476E19" w:rsidRDefault="00476E19" w:rsidP="00476E19">
      <w:pPr>
        <w:numPr>
          <w:ilvl w:val="0"/>
          <w:numId w:val="35"/>
        </w:numPr>
        <w:spacing w:line="360" w:lineRule="auto"/>
        <w:jc w:val="both"/>
      </w:pPr>
      <w:r w:rsidRPr="00F57929">
        <w:t>Sobretasa ambiental: 1,5‰ sobre el avalúo catastral</w:t>
      </w:r>
      <w:r>
        <w:t>.</w:t>
      </w:r>
    </w:p>
    <w:p w14:paraId="5455D30C" w14:textId="0F5C374C" w:rsidR="00476E19" w:rsidRDefault="00476E19" w:rsidP="00E51759">
      <w:pPr>
        <w:numPr>
          <w:ilvl w:val="0"/>
          <w:numId w:val="35"/>
        </w:numPr>
        <w:spacing w:line="360" w:lineRule="auto"/>
        <w:jc w:val="both"/>
      </w:pPr>
      <w:r w:rsidRPr="00F57929">
        <w:t>Exenciones y beneficios ambientales: (i) prohibido gravamen a parques naturales o parques públicos estatales; (ii) exención para predios definidos como reserva forestal; (iii) exención para predios destinados a protección de microcuencas según; (</w:t>
      </w:r>
      <w:proofErr w:type="spellStart"/>
      <w:r w:rsidRPr="00F57929">
        <w:t>iv</w:t>
      </w:r>
      <w:proofErr w:type="spellEnd"/>
      <w:r w:rsidRPr="00F57929">
        <w:t xml:space="preserve">) incentivos por </w:t>
      </w:r>
      <w:r w:rsidRPr="00F57929">
        <w:lastRenderedPageBreak/>
        <w:t>conservación de microcuencas y promoción de agricultura condicionados a acreditar 2/3 del predio en agricultura o arborización extensiva sobre microcuencas, previa certificación de la autoridad ambiental</w:t>
      </w:r>
      <w:r>
        <w:t>.</w:t>
      </w:r>
    </w:p>
    <w:p w14:paraId="516E6823" w14:textId="77777777" w:rsidR="00E51759" w:rsidRPr="00F57929" w:rsidRDefault="00E51759" w:rsidP="00E51759">
      <w:pPr>
        <w:spacing w:line="360" w:lineRule="auto"/>
        <w:jc w:val="both"/>
      </w:pPr>
    </w:p>
    <w:p w14:paraId="7B8E433B" w14:textId="77777777" w:rsidR="00476E19" w:rsidRPr="00E51759" w:rsidRDefault="00476E19" w:rsidP="00476E19">
      <w:pPr>
        <w:spacing w:line="360" w:lineRule="auto"/>
        <w:jc w:val="both"/>
        <w:rPr>
          <w:b/>
          <w:bCs/>
          <w:sz w:val="32"/>
          <w:szCs w:val="32"/>
        </w:rPr>
      </w:pPr>
      <w:r w:rsidRPr="00E51759">
        <w:rPr>
          <w:b/>
          <w:bCs/>
          <w:sz w:val="32"/>
          <w:szCs w:val="32"/>
        </w:rPr>
        <w:t>Recomendaciones</w:t>
      </w:r>
    </w:p>
    <w:p w14:paraId="1BB62067" w14:textId="77777777" w:rsidR="00476E19" w:rsidRDefault="00476E19" w:rsidP="00476E19">
      <w:pPr>
        <w:numPr>
          <w:ilvl w:val="0"/>
          <w:numId w:val="36"/>
        </w:numPr>
        <w:spacing w:line="360" w:lineRule="auto"/>
        <w:jc w:val="both"/>
      </w:pPr>
      <w:r w:rsidRPr="00F57929">
        <w:t>Actualizar la tabla de destinos económicos conforme a la Resolución 2025060163216 para alinear integralmente el estatuto con el modelo LADM-COL v4.1 y evitar vacíos tarifarios.</w:t>
      </w:r>
    </w:p>
    <w:p w14:paraId="3505CD89" w14:textId="77777777" w:rsidR="00476E19" w:rsidRPr="00F57929" w:rsidRDefault="00476E19" w:rsidP="00476E19">
      <w:pPr>
        <w:numPr>
          <w:ilvl w:val="0"/>
          <w:numId w:val="36"/>
        </w:numPr>
        <w:spacing w:line="360" w:lineRule="auto"/>
        <w:jc w:val="both"/>
      </w:pPr>
      <w:r w:rsidRPr="007839DD">
        <w:t>Adoptar por acto expreso la Resolución 1040 de 2023 del IGAC como marco operativo de procedimientos y nomenclaturas catastrales.</w:t>
      </w:r>
    </w:p>
    <w:p w14:paraId="3AAACA80" w14:textId="77777777" w:rsidR="00476E19" w:rsidRPr="00F57929" w:rsidRDefault="00476E19" w:rsidP="00476E19">
      <w:pPr>
        <w:numPr>
          <w:ilvl w:val="0"/>
          <w:numId w:val="36"/>
        </w:numPr>
        <w:spacing w:line="360" w:lineRule="auto"/>
        <w:jc w:val="both"/>
      </w:pPr>
      <w:r w:rsidRPr="00F57929">
        <w:t>Corregir el enunciado del artículo 15 para que el rango general de tarifas coincida con la matriz vigente (que llega hasta 16‰ en varias categorías)</w:t>
      </w:r>
      <w:r>
        <w:t>.</w:t>
      </w:r>
    </w:p>
    <w:p w14:paraId="45276026" w14:textId="77777777" w:rsidR="00476E19" w:rsidRDefault="00476E19" w:rsidP="00476E19">
      <w:pPr>
        <w:numPr>
          <w:ilvl w:val="0"/>
          <w:numId w:val="36"/>
        </w:numPr>
        <w:spacing w:line="360" w:lineRule="auto"/>
        <w:jc w:val="both"/>
      </w:pPr>
      <w:r>
        <w:t>D</w:t>
      </w:r>
      <w:r w:rsidRPr="00F57929">
        <w:t>efinir criterios técnicos</w:t>
      </w:r>
      <w:r>
        <w:t xml:space="preserve"> para el beneficio de </w:t>
      </w:r>
      <w:r w:rsidRPr="00F57929">
        <w:t>Patrimonio arquitectónico (tipo de intervención, nivel de conservación), escalas de rebaja, vigencia,</w:t>
      </w:r>
      <w:r>
        <w:t xml:space="preserve"> analizar </w:t>
      </w:r>
      <w:r w:rsidRPr="00F57929">
        <w:t>el costo fiscal.</w:t>
      </w:r>
    </w:p>
    <w:p w14:paraId="12A06EDE" w14:textId="77777777" w:rsidR="00476E19" w:rsidRPr="002B7F65" w:rsidRDefault="00476E19" w:rsidP="00476E19">
      <w:pPr>
        <w:numPr>
          <w:ilvl w:val="0"/>
          <w:numId w:val="36"/>
        </w:numPr>
        <w:spacing w:line="360" w:lineRule="auto"/>
        <w:jc w:val="both"/>
      </w:pPr>
      <w:r w:rsidRPr="002B7F65">
        <w:t xml:space="preserve">Separar con claridad “prohibido gravamen”, exclusiones, exenciones y tratamientos especiales; unificar procedimientos de acreditación, vigencia, pérdida del beneficio y </w:t>
      </w:r>
      <w:r>
        <w:t xml:space="preserve">analizar </w:t>
      </w:r>
      <w:r w:rsidRPr="002B7F65">
        <w:t>el costo fiscal.</w:t>
      </w:r>
    </w:p>
    <w:p w14:paraId="2FCA050E" w14:textId="77777777" w:rsidR="00476E19" w:rsidRPr="00F57929" w:rsidRDefault="00476E19" w:rsidP="00476E19">
      <w:pPr>
        <w:numPr>
          <w:ilvl w:val="0"/>
          <w:numId w:val="36"/>
        </w:numPr>
        <w:spacing w:after="0" w:line="360" w:lineRule="auto"/>
        <w:jc w:val="both"/>
      </w:pPr>
      <w:r w:rsidRPr="002B7F65">
        <w:t xml:space="preserve">Implementar un esquema de límites </w:t>
      </w:r>
      <w:r>
        <w:t xml:space="preserve">para </w:t>
      </w:r>
      <w:r w:rsidRPr="002B7F65">
        <w:t>actualización y rezago catastral, con topes anuales, duración definida y coordinación con variaciones tarifarias para prevenir saltos abruptos.</w:t>
      </w:r>
    </w:p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701CD" w14:textId="77777777" w:rsidR="001524A1" w:rsidRDefault="001524A1" w:rsidP="00707E60">
      <w:pPr>
        <w:spacing w:after="0" w:line="240" w:lineRule="auto"/>
      </w:pPr>
      <w:r>
        <w:separator/>
      </w:r>
    </w:p>
  </w:endnote>
  <w:endnote w:type="continuationSeparator" w:id="0">
    <w:p w14:paraId="76BB4CAB" w14:textId="77777777" w:rsidR="001524A1" w:rsidRDefault="001524A1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58FC4" w14:textId="77777777" w:rsidR="001524A1" w:rsidRDefault="001524A1" w:rsidP="00707E60">
      <w:pPr>
        <w:spacing w:after="0" w:line="240" w:lineRule="auto"/>
      </w:pPr>
      <w:r>
        <w:separator/>
      </w:r>
    </w:p>
  </w:footnote>
  <w:footnote w:type="continuationSeparator" w:id="0">
    <w:p w14:paraId="0A80F146" w14:textId="77777777" w:rsidR="001524A1" w:rsidRDefault="001524A1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1C11A54F">
              <wp:simplePos x="0" y="0"/>
              <wp:positionH relativeFrom="column">
                <wp:posOffset>37238</wp:posOffset>
              </wp:positionH>
              <wp:positionV relativeFrom="paragraph">
                <wp:posOffset>-111760</wp:posOffset>
              </wp:positionV>
              <wp:extent cx="3256767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6767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5AB46E" w14:textId="77777777" w:rsidR="00DD0016" w:rsidRPr="00327CFA" w:rsidRDefault="00DD0016" w:rsidP="00DD0016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747E5FC2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Ficha Municipio </w:t>
                          </w:r>
                          <w:r w:rsidR="00737A07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Caucasia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2.95pt;margin-top:-8.8pt;width:256.4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mTMgAEAAOkCAAAOAAAAZHJzL2Uyb0RvYy54bWysUstu2zAQvBfoPxC817Kd2ikEy0bSIL0U&#13;&#10;SYE0H0BTpEVA5LK7tCX/fZe0axftLciFIvcxOzuj1Wb0vTgYJAehkbPJVAoTNLQu7Br5+vPx0xcp&#13;&#10;KKnQqh6CaeTRkNysP35YDbE2c+igbw0KBglUD7GRXUqxrirSnfGKJhBN4KQF9CrxE3dVi2pgdN9X&#13;&#10;8+l0WQ2AbUTQhoijD6ekXBd8a41Oz9aSSaJvJHNL5cRybvNZrVeq3qGKndNnGuoNLLxygYdeoB5U&#13;&#10;UmKP7j8o7zQCgU0TDb4Ca502ZQfeZjb9Z5uXTkVTdmFxKF5koveD1U+Hl/gDRRrvYWQDsyBDpJo4&#13;&#10;mPcZLfr8ZaaC8yzh8SKbGZPQHLyZL5a3y1spNOcWi9ns8yLDVNfuiJS+GfAiXxqJbEtRSx2+UzqV&#13;&#10;/inJwwI8ur7P8SuVfEvjdjzz20J7ZNoDO9dI+rVXaKTA1H+FYvQJ5W6fwLoyILefes6orGehePY+&#13;&#10;G/b3u1Rd/9D1bwAAAP//AwBQSwMEFAAGAAgAAAAhAI9bkkfiAAAADQEAAA8AAABkcnMvZG93bnJl&#13;&#10;di54bWxMj81OwzAQhO9IvIO1SNxaOxUJTRqnQlRcQZQfiZsbb5OIeB3FbhPenuVELyutZnZ2vnI7&#13;&#10;u16ccQydJw3JUoFAqr3tqNHw/va0WIMI0ZA1vSfU8IMBttX1VWkK6yd6xfM+NoJDKBRGQxvjUEgZ&#13;&#10;6hadCUs/ILF29KMzkdexkXY0E4e7Xq6UyqQzHfGH1gz42GL9vT85DR/Px6/PO/XS7Fw6TH5Wklwu&#13;&#10;tb69mXcbHg8bEBHn+H8BfwzcHyoudvAnskH0GtKcjRoWyX0GgvU0WTPPQUOWr0BWpbykqH4BAAD/&#13;&#10;/wMAUEsBAi0AFAAGAAgAAAAhALaDOJL+AAAA4QEAABMAAAAAAAAAAAAAAAAAAAAAAFtDb250ZW50&#13;&#10;X1R5cGVzXS54bWxQSwECLQAUAAYACAAAACEAOP0h/9YAAACUAQAACwAAAAAAAAAAAAAAAAAvAQAA&#13;&#10;X3JlbHMvLnJlbHNQSwECLQAUAAYACAAAACEA/8ZkzIABAADpAgAADgAAAAAAAAAAAAAAAAAuAgAA&#13;&#10;ZHJzL2Uyb0RvYy54bWxQSwECLQAUAAYACAAAACEAj1uSR+IAAAANAQAADwAAAAAAAAAAAAAAAADa&#13;&#10;AwAAZHJzL2Rvd25yZXYueG1sUEsFBgAAAAAEAAQA8wAAAOkEAAAAAA==&#13;&#10;" filled="f" stroked="f">
              <v:textbox>
                <w:txbxContent>
                  <w:p w14:paraId="745AB46E" w14:textId="77777777" w:rsidR="00DD0016" w:rsidRPr="00327CFA" w:rsidRDefault="00DD0016" w:rsidP="00DD0016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747E5FC2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 xml:space="preserve">Ficha Municipio </w:t>
                    </w:r>
                    <w:r w:rsidR="00737A07">
                      <w:rPr>
                        <w:color w:val="000000" w:themeColor="text1"/>
                        <w:sz w:val="28"/>
                        <w:szCs w:val="28"/>
                      </w:rPr>
                      <w:t>Caucasia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9CD"/>
    <w:multiLevelType w:val="multilevel"/>
    <w:tmpl w:val="51BA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5253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B14A8"/>
    <w:multiLevelType w:val="multilevel"/>
    <w:tmpl w:val="2C22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922E8"/>
    <w:multiLevelType w:val="multilevel"/>
    <w:tmpl w:val="B3B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F1824"/>
    <w:multiLevelType w:val="multilevel"/>
    <w:tmpl w:val="EE24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13B06"/>
    <w:multiLevelType w:val="hybridMultilevel"/>
    <w:tmpl w:val="2FB8F1B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CA2157"/>
    <w:multiLevelType w:val="hybridMultilevel"/>
    <w:tmpl w:val="7C2E6E4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35421A"/>
    <w:multiLevelType w:val="multilevel"/>
    <w:tmpl w:val="3CE4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4216E"/>
    <w:multiLevelType w:val="multilevel"/>
    <w:tmpl w:val="867C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C7C0D"/>
    <w:multiLevelType w:val="multilevel"/>
    <w:tmpl w:val="AA5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E0F04"/>
    <w:multiLevelType w:val="multilevel"/>
    <w:tmpl w:val="EE24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25BA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AA28CE"/>
    <w:multiLevelType w:val="multilevel"/>
    <w:tmpl w:val="3736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60A7F"/>
    <w:multiLevelType w:val="multilevel"/>
    <w:tmpl w:val="C788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86842"/>
    <w:multiLevelType w:val="multilevel"/>
    <w:tmpl w:val="E240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16CF6"/>
    <w:multiLevelType w:val="multilevel"/>
    <w:tmpl w:val="EE24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D46604"/>
    <w:multiLevelType w:val="multilevel"/>
    <w:tmpl w:val="F922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971A7"/>
    <w:multiLevelType w:val="multilevel"/>
    <w:tmpl w:val="CCF0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6A27F7"/>
    <w:multiLevelType w:val="multilevel"/>
    <w:tmpl w:val="BAEE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0C70AF"/>
    <w:multiLevelType w:val="multilevel"/>
    <w:tmpl w:val="982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95231C"/>
    <w:multiLevelType w:val="hybridMultilevel"/>
    <w:tmpl w:val="5DA26766"/>
    <w:lvl w:ilvl="0" w:tplc="0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3915868"/>
    <w:multiLevelType w:val="multilevel"/>
    <w:tmpl w:val="A068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E292A"/>
    <w:multiLevelType w:val="multilevel"/>
    <w:tmpl w:val="EE24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AF223E"/>
    <w:multiLevelType w:val="multilevel"/>
    <w:tmpl w:val="DBA2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CE0E1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D71B67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246065"/>
    <w:multiLevelType w:val="multilevel"/>
    <w:tmpl w:val="AD1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0C0014"/>
    <w:multiLevelType w:val="multilevel"/>
    <w:tmpl w:val="3A6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9C7F00"/>
    <w:multiLevelType w:val="multilevel"/>
    <w:tmpl w:val="F274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C175E2"/>
    <w:multiLevelType w:val="hybridMultilevel"/>
    <w:tmpl w:val="84F8C5F4"/>
    <w:lvl w:ilvl="0" w:tplc="08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45A77C1"/>
    <w:multiLevelType w:val="hybridMultilevel"/>
    <w:tmpl w:val="DB46AF3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6C527C6"/>
    <w:multiLevelType w:val="multilevel"/>
    <w:tmpl w:val="2DE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AF6039"/>
    <w:multiLevelType w:val="hybridMultilevel"/>
    <w:tmpl w:val="7AC43800"/>
    <w:lvl w:ilvl="0" w:tplc="0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7F9E3568"/>
    <w:multiLevelType w:val="multilevel"/>
    <w:tmpl w:val="412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704">
    <w:abstractNumId w:val="16"/>
  </w:num>
  <w:num w:numId="2" w16cid:durableId="1017347282">
    <w:abstractNumId w:val="23"/>
  </w:num>
  <w:num w:numId="3" w16cid:durableId="44450645">
    <w:abstractNumId w:val="27"/>
  </w:num>
  <w:num w:numId="4" w16cid:durableId="1953855267">
    <w:abstractNumId w:val="1"/>
  </w:num>
  <w:num w:numId="5" w16cid:durableId="1281302291">
    <w:abstractNumId w:val="11"/>
  </w:num>
  <w:num w:numId="6" w16cid:durableId="198319745">
    <w:abstractNumId w:val="26"/>
  </w:num>
  <w:num w:numId="7" w16cid:durableId="1222793921">
    <w:abstractNumId w:val="2"/>
  </w:num>
  <w:num w:numId="8" w16cid:durableId="1663466582">
    <w:abstractNumId w:val="28"/>
  </w:num>
  <w:num w:numId="9" w16cid:durableId="1601404175">
    <w:abstractNumId w:val="35"/>
  </w:num>
  <w:num w:numId="10" w16cid:durableId="1696037023">
    <w:abstractNumId w:val="30"/>
  </w:num>
  <w:num w:numId="11" w16cid:durableId="1726874531">
    <w:abstractNumId w:val="9"/>
  </w:num>
  <w:num w:numId="12" w16cid:durableId="1308511851">
    <w:abstractNumId w:val="19"/>
  </w:num>
  <w:num w:numId="13" w16cid:durableId="470710239">
    <w:abstractNumId w:val="14"/>
  </w:num>
  <w:num w:numId="14" w16cid:durableId="335232453">
    <w:abstractNumId w:val="0"/>
  </w:num>
  <w:num w:numId="15" w16cid:durableId="864756385">
    <w:abstractNumId w:val="29"/>
  </w:num>
  <w:num w:numId="16" w16cid:durableId="1808812370">
    <w:abstractNumId w:val="12"/>
  </w:num>
  <w:num w:numId="17" w16cid:durableId="230238942">
    <w:abstractNumId w:val="33"/>
  </w:num>
  <w:num w:numId="18" w16cid:durableId="1750955448">
    <w:abstractNumId w:val="20"/>
  </w:num>
  <w:num w:numId="19" w16cid:durableId="1620525228">
    <w:abstractNumId w:val="25"/>
  </w:num>
  <w:num w:numId="20" w16cid:durableId="1971281397">
    <w:abstractNumId w:val="22"/>
  </w:num>
  <w:num w:numId="21" w16cid:durableId="898437512">
    <w:abstractNumId w:val="17"/>
  </w:num>
  <w:num w:numId="22" w16cid:durableId="1857577869">
    <w:abstractNumId w:val="18"/>
  </w:num>
  <w:num w:numId="23" w16cid:durableId="2099017172">
    <w:abstractNumId w:val="7"/>
  </w:num>
  <w:num w:numId="24" w16cid:durableId="247349472">
    <w:abstractNumId w:val="8"/>
  </w:num>
  <w:num w:numId="25" w16cid:durableId="999231555">
    <w:abstractNumId w:val="13"/>
  </w:num>
  <w:num w:numId="26" w16cid:durableId="720834703">
    <w:abstractNumId w:val="3"/>
  </w:num>
  <w:num w:numId="27" w16cid:durableId="1572274572">
    <w:abstractNumId w:val="31"/>
  </w:num>
  <w:num w:numId="28" w16cid:durableId="1501236082">
    <w:abstractNumId w:val="21"/>
  </w:num>
  <w:num w:numId="29" w16cid:durableId="1700162810">
    <w:abstractNumId w:val="32"/>
  </w:num>
  <w:num w:numId="30" w16cid:durableId="1948351018">
    <w:abstractNumId w:val="34"/>
  </w:num>
  <w:num w:numId="31" w16cid:durableId="77949455">
    <w:abstractNumId w:val="6"/>
  </w:num>
  <w:num w:numId="32" w16cid:durableId="973754944">
    <w:abstractNumId w:val="5"/>
  </w:num>
  <w:num w:numId="33" w16cid:durableId="1595629131">
    <w:abstractNumId w:val="15"/>
  </w:num>
  <w:num w:numId="34" w16cid:durableId="932476242">
    <w:abstractNumId w:val="10"/>
  </w:num>
  <w:num w:numId="35" w16cid:durableId="2081755300">
    <w:abstractNumId w:val="24"/>
  </w:num>
  <w:num w:numId="36" w16cid:durableId="13545754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73BBF"/>
    <w:rsid w:val="00084B98"/>
    <w:rsid w:val="00087C16"/>
    <w:rsid w:val="000A76FA"/>
    <w:rsid w:val="000C2026"/>
    <w:rsid w:val="001105DF"/>
    <w:rsid w:val="00120797"/>
    <w:rsid w:val="00130BDF"/>
    <w:rsid w:val="00134527"/>
    <w:rsid w:val="001524A1"/>
    <w:rsid w:val="0016665C"/>
    <w:rsid w:val="00180D84"/>
    <w:rsid w:val="00194588"/>
    <w:rsid w:val="001B556D"/>
    <w:rsid w:val="00211E44"/>
    <w:rsid w:val="0023618C"/>
    <w:rsid w:val="00280F9A"/>
    <w:rsid w:val="002A4167"/>
    <w:rsid w:val="003650D0"/>
    <w:rsid w:val="003A7CEA"/>
    <w:rsid w:val="003E2241"/>
    <w:rsid w:val="003E760C"/>
    <w:rsid w:val="004107CA"/>
    <w:rsid w:val="004671B7"/>
    <w:rsid w:val="00476E19"/>
    <w:rsid w:val="004E66EB"/>
    <w:rsid w:val="00506B6A"/>
    <w:rsid w:val="005422DF"/>
    <w:rsid w:val="005B772A"/>
    <w:rsid w:val="005D08ED"/>
    <w:rsid w:val="005F7A75"/>
    <w:rsid w:val="00605B4C"/>
    <w:rsid w:val="00656CE7"/>
    <w:rsid w:val="00665846"/>
    <w:rsid w:val="006A249B"/>
    <w:rsid w:val="006F5715"/>
    <w:rsid w:val="00707E60"/>
    <w:rsid w:val="00737A07"/>
    <w:rsid w:val="00745C46"/>
    <w:rsid w:val="00813F67"/>
    <w:rsid w:val="00816BD4"/>
    <w:rsid w:val="00844CC8"/>
    <w:rsid w:val="00845F02"/>
    <w:rsid w:val="00852ADC"/>
    <w:rsid w:val="00855468"/>
    <w:rsid w:val="008A01C7"/>
    <w:rsid w:val="008C4785"/>
    <w:rsid w:val="00944C88"/>
    <w:rsid w:val="0096088F"/>
    <w:rsid w:val="009A3DE6"/>
    <w:rsid w:val="009D1F9E"/>
    <w:rsid w:val="009F1B3C"/>
    <w:rsid w:val="00A27409"/>
    <w:rsid w:val="00A407A7"/>
    <w:rsid w:val="00A456B7"/>
    <w:rsid w:val="00A55C9A"/>
    <w:rsid w:val="00A566B6"/>
    <w:rsid w:val="00A60686"/>
    <w:rsid w:val="00A96461"/>
    <w:rsid w:val="00AA7DD4"/>
    <w:rsid w:val="00AB7560"/>
    <w:rsid w:val="00AE2D50"/>
    <w:rsid w:val="00BB442A"/>
    <w:rsid w:val="00BC7035"/>
    <w:rsid w:val="00C04706"/>
    <w:rsid w:val="00C25E4F"/>
    <w:rsid w:val="00C8654E"/>
    <w:rsid w:val="00C942B0"/>
    <w:rsid w:val="00CD1105"/>
    <w:rsid w:val="00D37EF2"/>
    <w:rsid w:val="00D72AAC"/>
    <w:rsid w:val="00DB14E5"/>
    <w:rsid w:val="00DD0016"/>
    <w:rsid w:val="00E20840"/>
    <w:rsid w:val="00E3658D"/>
    <w:rsid w:val="00E51759"/>
    <w:rsid w:val="00E608BE"/>
    <w:rsid w:val="00E733D1"/>
    <w:rsid w:val="00EF712C"/>
    <w:rsid w:val="00F12C45"/>
    <w:rsid w:val="00F244D0"/>
    <w:rsid w:val="00F27231"/>
    <w:rsid w:val="00F65205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Subtitle"/>
    <w:next w:val="Normal"/>
    <w:link w:val="TitleChar"/>
    <w:uiPriority w:val="10"/>
    <w:qFormat/>
    <w:rsid w:val="00AA7DD4"/>
    <w:pPr>
      <w:spacing w:line="360" w:lineRule="auto"/>
      <w:ind w:left="1080" w:hanging="720"/>
      <w:contextualSpacing/>
      <w:jc w:val="both"/>
    </w:pPr>
    <w:rPr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DD4"/>
    <w:rPr>
      <w:rFonts w:eastAsiaTheme="majorEastAsia" w:cstheme="majorBidi"/>
      <w:b/>
      <w:bCs/>
      <w:color w:val="000000" w:themeColor="text1"/>
      <w:spacing w:val="15"/>
      <w:sz w:val="32"/>
      <w:szCs w:val="32"/>
      <w:lang w:val="es-CO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paragraph" w:customStyle="1" w:styleId="Style1">
    <w:name w:val="Style1"/>
    <w:basedOn w:val="Normal"/>
    <w:qFormat/>
    <w:rsid w:val="00AA7DD4"/>
    <w:pPr>
      <w:spacing w:line="360" w:lineRule="auto"/>
      <w:ind w:left="720" w:hanging="360"/>
      <w:jc w:val="both"/>
    </w:pPr>
    <w:rPr>
      <w:rFonts w:ascii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517</Words>
  <Characters>2950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36</cp:revision>
  <dcterms:created xsi:type="dcterms:W3CDTF">2025-10-23T17:12:00Z</dcterms:created>
  <dcterms:modified xsi:type="dcterms:W3CDTF">2025-11-06T13:00:00Z</dcterms:modified>
</cp:coreProperties>
</file>