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02A5E" w14:textId="77777777" w:rsidR="004107CA" w:rsidRDefault="004107CA"/>
    <w:p w14:paraId="69C464BD" w14:textId="77777777" w:rsidR="00707E60" w:rsidRDefault="00707E60"/>
    <w:p w14:paraId="7C41B434" w14:textId="77777777" w:rsidR="00707E60" w:rsidRDefault="00707E60"/>
    <w:p w14:paraId="65123F46" w14:textId="77777777" w:rsidR="00707E60" w:rsidRDefault="00707E60"/>
    <w:p w14:paraId="4234CDFE" w14:textId="77777777" w:rsidR="00707E60" w:rsidRDefault="00707E60"/>
    <w:p w14:paraId="7411AD1A" w14:textId="73CF28AB" w:rsidR="00707E60" w:rsidRDefault="00707E60"/>
    <w:p w14:paraId="33230097" w14:textId="669EDDD4" w:rsidR="00707E60" w:rsidRDefault="00707E60" w:rsidP="00707E60">
      <w:pPr>
        <w:jc w:val="center"/>
      </w:pPr>
    </w:p>
    <w:p w14:paraId="524EFE21" w14:textId="331BC161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06CCB526" w14:textId="4AD669AC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  <w:r w:rsidRPr="001B18EF">
        <w:rPr>
          <w:noProof/>
          <w:lang w:eastAsia="es-CO"/>
        </w:rPr>
        <w:drawing>
          <wp:anchor distT="0" distB="0" distL="114300" distR="114300" simplePos="0" relativeHeight="251659264" behindDoc="0" locked="0" layoutInCell="1" allowOverlap="1" wp14:anchorId="2C40115D" wp14:editId="24C321DE">
            <wp:simplePos x="0" y="0"/>
            <wp:positionH relativeFrom="column">
              <wp:posOffset>1302151</wp:posOffset>
            </wp:positionH>
            <wp:positionV relativeFrom="paragraph">
              <wp:posOffset>166370</wp:posOffset>
            </wp:positionV>
            <wp:extent cx="3268980" cy="942975"/>
            <wp:effectExtent l="0" t="0" r="0" b="0"/>
            <wp:wrapSquare wrapText="bothSides"/>
            <wp:docPr id="719188107" name="Picture 9" descr="A black and grey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69291" name="Picture 9" descr="A black and grey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F0E95E" w14:textId="0BCC274E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5CC9BDC5" w14:textId="2A351149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54E972D6" w14:textId="77777777" w:rsidR="00DD0016" w:rsidRDefault="00DD0016" w:rsidP="00DD0016">
      <w:pPr>
        <w:pStyle w:val="NoSpacing"/>
        <w:jc w:val="center"/>
        <w:rPr>
          <w:b/>
          <w:bCs/>
          <w:color w:val="000000" w:themeColor="text1"/>
          <w:sz w:val="56"/>
          <w:szCs w:val="56"/>
        </w:rPr>
      </w:pPr>
      <w:r w:rsidRPr="00AB4389">
        <w:rPr>
          <w:b/>
          <w:bCs/>
          <w:color w:val="000000" w:themeColor="text1"/>
          <w:sz w:val="56"/>
          <w:szCs w:val="56"/>
        </w:rPr>
        <w:t>Análisis Jurídico de Estatuto Tributario</w:t>
      </w:r>
    </w:p>
    <w:p w14:paraId="68B285CD" w14:textId="77777777" w:rsidR="00707E60" w:rsidRPr="00707E60" w:rsidRDefault="00707E60" w:rsidP="00707E60">
      <w:pPr>
        <w:pStyle w:val="NoSpacing"/>
        <w:jc w:val="center"/>
        <w:rPr>
          <w:color w:val="000000" w:themeColor="text1"/>
          <w:sz w:val="72"/>
          <w:szCs w:val="72"/>
        </w:rPr>
      </w:pPr>
    </w:p>
    <w:p w14:paraId="2FE843B9" w14:textId="5F4BE85A" w:rsidR="00707E60" w:rsidRPr="00707E60" w:rsidRDefault="00707E60" w:rsidP="00707E60">
      <w:pPr>
        <w:pStyle w:val="NoSpacing"/>
        <w:jc w:val="center"/>
        <w:rPr>
          <w:color w:val="000000" w:themeColor="text1"/>
          <w:sz w:val="44"/>
          <w:szCs w:val="44"/>
        </w:rPr>
      </w:pPr>
      <w:r w:rsidRPr="00707E60">
        <w:rPr>
          <w:color w:val="000000" w:themeColor="text1"/>
          <w:sz w:val="44"/>
          <w:szCs w:val="44"/>
        </w:rPr>
        <w:t xml:space="preserve">Municipio: </w:t>
      </w:r>
      <w:r w:rsidR="008677F9">
        <w:rPr>
          <w:color w:val="000000" w:themeColor="text1"/>
          <w:sz w:val="44"/>
          <w:szCs w:val="44"/>
        </w:rPr>
        <w:t>El Santuario</w:t>
      </w:r>
    </w:p>
    <w:p w14:paraId="3460615A" w14:textId="77777777" w:rsidR="00707E60" w:rsidRPr="00707E60" w:rsidRDefault="00707E60"/>
    <w:p w14:paraId="0107F43B" w14:textId="77777777" w:rsidR="00707E60" w:rsidRDefault="00707E60"/>
    <w:p w14:paraId="6154161F" w14:textId="77777777" w:rsidR="00707E60" w:rsidRDefault="00707E60"/>
    <w:p w14:paraId="7789B689" w14:textId="77777777" w:rsidR="00707E60" w:rsidRDefault="00707E60"/>
    <w:p w14:paraId="422FC476" w14:textId="77777777" w:rsidR="00707E60" w:rsidRDefault="00707E60"/>
    <w:p w14:paraId="74370256" w14:textId="77777777" w:rsidR="00707E60" w:rsidRDefault="00707E60"/>
    <w:p w14:paraId="25496B82" w14:textId="77777777" w:rsidR="00707E60" w:rsidRDefault="00707E60"/>
    <w:p w14:paraId="0E10EFE4" w14:textId="77777777" w:rsidR="00707E60" w:rsidRDefault="00707E60"/>
    <w:p w14:paraId="5C9DCB25" w14:textId="77777777" w:rsidR="00707E60" w:rsidRDefault="00707E60"/>
    <w:p w14:paraId="258AB87C" w14:textId="77777777" w:rsidR="0063166A" w:rsidRPr="00F57929" w:rsidRDefault="0063166A" w:rsidP="0063166A">
      <w:pPr>
        <w:spacing w:line="360" w:lineRule="auto"/>
      </w:pPr>
      <w:r w:rsidRPr="00F57929">
        <w:lastRenderedPageBreak/>
        <w:t>El estado actual de su normatividad tributaria se establece en el Acuerdo 25 de 2015.</w:t>
      </w:r>
    </w:p>
    <w:p w14:paraId="55D438B9" w14:textId="77777777" w:rsidR="0063166A" w:rsidRPr="001172CD" w:rsidRDefault="0063166A" w:rsidP="0063166A">
      <w:pPr>
        <w:spacing w:line="360" w:lineRule="auto"/>
        <w:jc w:val="both"/>
        <w:rPr>
          <w:b/>
          <w:bCs/>
          <w:sz w:val="32"/>
          <w:szCs w:val="32"/>
        </w:rPr>
      </w:pPr>
      <w:r w:rsidRPr="001172CD">
        <w:rPr>
          <w:b/>
          <w:bCs/>
          <w:sz w:val="32"/>
          <w:szCs w:val="32"/>
        </w:rPr>
        <w:t>Hallazgos</w:t>
      </w:r>
    </w:p>
    <w:p w14:paraId="4990FC94" w14:textId="77777777" w:rsidR="0063166A" w:rsidRPr="002B7F65" w:rsidRDefault="0063166A" w:rsidP="0063166A">
      <w:pPr>
        <w:numPr>
          <w:ilvl w:val="0"/>
          <w:numId w:val="39"/>
        </w:numPr>
        <w:spacing w:line="360" w:lineRule="auto"/>
        <w:jc w:val="both"/>
      </w:pPr>
      <w:r w:rsidRPr="002B7F65">
        <w:t>La tabla de destinos económicos no contempla las modificaciones introducidas por la Resolución 2025060163216 del 14 de marzo de 2025, que redefine los destinos en Antioquia conforme al modelo LADM-COL v4.1. Omitir estos destinos deja sin tarifa a nuevas categorías y expone al Municipio a pérdidas por falta de un elemento esencial del tributo.</w:t>
      </w:r>
    </w:p>
    <w:p w14:paraId="5A369EC5" w14:textId="77777777" w:rsidR="0063166A" w:rsidRPr="002B7F65" w:rsidRDefault="0063166A" w:rsidP="0063166A">
      <w:pPr>
        <w:numPr>
          <w:ilvl w:val="0"/>
          <w:numId w:val="39"/>
        </w:numPr>
        <w:spacing w:line="360" w:lineRule="auto"/>
        <w:jc w:val="both"/>
      </w:pPr>
      <w:r w:rsidRPr="002B7F65">
        <w:t>Los procedimientos catastrales y definiciones técnicas permanecen anclados en marcos anteriores; no se evidencia adopción expresa de la Resolución 1040 de 2023 del IGAC</w:t>
      </w:r>
      <w:r w:rsidRPr="00F57929">
        <w:t>.</w:t>
      </w:r>
    </w:p>
    <w:p w14:paraId="7C75BFB5" w14:textId="77777777" w:rsidR="0063166A" w:rsidRPr="002B7F65" w:rsidRDefault="0063166A" w:rsidP="0063166A">
      <w:pPr>
        <w:numPr>
          <w:ilvl w:val="0"/>
          <w:numId w:val="39"/>
        </w:numPr>
        <w:spacing w:line="360" w:lineRule="auto"/>
        <w:jc w:val="both"/>
      </w:pPr>
      <w:r w:rsidRPr="002B7F65">
        <w:t>La matriz tarifaria mezcla simultáneamente rangos en UVT y estratos; además, para el destino habitacional coexisten criterios por estrato y “vivienda sin estratificación”. Esta doble lógica complejiza la liquidación, genera solapamientos y riesgos de trato desigual.</w:t>
      </w:r>
    </w:p>
    <w:p w14:paraId="4C488248" w14:textId="77777777" w:rsidR="0063166A" w:rsidRPr="002B7F65" w:rsidRDefault="0063166A" w:rsidP="0063166A">
      <w:pPr>
        <w:numPr>
          <w:ilvl w:val="0"/>
          <w:numId w:val="39"/>
        </w:numPr>
        <w:spacing w:line="360" w:lineRule="auto"/>
        <w:jc w:val="both"/>
      </w:pPr>
      <w:r w:rsidRPr="002B7F65">
        <w:t xml:space="preserve">Se fija un </w:t>
      </w:r>
      <w:proofErr w:type="spellStart"/>
      <w:r w:rsidRPr="002B7F65">
        <w:t>milaje</w:t>
      </w:r>
      <w:proofErr w:type="spellEnd"/>
      <w:r w:rsidRPr="002B7F65">
        <w:t xml:space="preserve"> de 1‰ para “religioso” dentro de la matriz, </w:t>
      </w:r>
      <w:r w:rsidRPr="00F57929">
        <w:t>también</w:t>
      </w:r>
      <w:r w:rsidRPr="002B7F65">
        <w:t xml:space="preserve"> </w:t>
      </w:r>
      <w:r w:rsidRPr="00F57929">
        <w:t xml:space="preserve">los encontramos en </w:t>
      </w:r>
      <w:r w:rsidRPr="002B7F65">
        <w:t>el régimen de “prohibido gravamen”. La convivencia de ambas figuras puede producir contradicciones normativas</w:t>
      </w:r>
      <w:r w:rsidRPr="00F57929">
        <w:t>.</w:t>
      </w:r>
    </w:p>
    <w:p w14:paraId="14BAE3D8" w14:textId="77777777" w:rsidR="0063166A" w:rsidRPr="002B7F65" w:rsidRDefault="0063166A" w:rsidP="0063166A">
      <w:pPr>
        <w:numPr>
          <w:ilvl w:val="0"/>
          <w:numId w:val="39"/>
        </w:numPr>
        <w:spacing w:line="360" w:lineRule="auto"/>
        <w:jc w:val="both"/>
      </w:pPr>
      <w:r w:rsidRPr="002B7F65">
        <w:t>La determinación oficial por factura se anuncia con mérito ejecutivo, pero no se define contenido mínimo del documento ni el protocolo de notificación (publicación, aviso, ,</w:t>
      </w:r>
      <w:r w:rsidRPr="00F57929">
        <w:t>etc.</w:t>
      </w:r>
      <w:r w:rsidRPr="002B7F65">
        <w:t>). Esto debilita la ejecutividad y expone a nulidades.</w:t>
      </w:r>
    </w:p>
    <w:p w14:paraId="60C38738" w14:textId="77777777" w:rsidR="0063166A" w:rsidRPr="002B7F65" w:rsidRDefault="0063166A" w:rsidP="0063166A">
      <w:pPr>
        <w:numPr>
          <w:ilvl w:val="0"/>
          <w:numId w:val="39"/>
        </w:numPr>
        <w:spacing w:line="360" w:lineRule="auto"/>
        <w:jc w:val="both"/>
      </w:pPr>
      <w:r w:rsidRPr="002B7F65">
        <w:t>Se regula el pago trimestral y un descuento por pronto pago</w:t>
      </w:r>
      <w:r w:rsidRPr="00F57929">
        <w:t xml:space="preserve"> del 10%</w:t>
      </w:r>
    </w:p>
    <w:p w14:paraId="4827608F" w14:textId="77777777" w:rsidR="0063166A" w:rsidRPr="002B7F65" w:rsidRDefault="0063166A" w:rsidP="0063166A">
      <w:pPr>
        <w:numPr>
          <w:ilvl w:val="0"/>
          <w:numId w:val="39"/>
        </w:numPr>
        <w:spacing w:line="360" w:lineRule="auto"/>
        <w:jc w:val="both"/>
      </w:pPr>
      <w:r w:rsidRPr="002B7F65">
        <w:t>“Prohibido gravamen”, exclusiones, exenciones y tratamientos especiales aparecen mezclados en bloques amplios, sin una separación conceptual y procedimental nítida (acreditación, vigencia, pérdida, verificación, costo fiscal).</w:t>
      </w:r>
    </w:p>
    <w:p w14:paraId="29B03966" w14:textId="77777777" w:rsidR="0063166A" w:rsidRPr="002B7F65" w:rsidRDefault="0063166A" w:rsidP="0063166A">
      <w:pPr>
        <w:numPr>
          <w:ilvl w:val="0"/>
          <w:numId w:val="39"/>
        </w:numPr>
        <w:spacing w:line="360" w:lineRule="auto"/>
        <w:jc w:val="both"/>
      </w:pPr>
      <w:r w:rsidRPr="002B7F65">
        <w:t>La condonación a favor de predios restituidos incluye impuestos, tasas y “otras contribuciones”. Incluir sobretasas cuyo recaudo pertenece a terceros (</w:t>
      </w:r>
      <w:r w:rsidRPr="00F57929">
        <w:t>sobretasa ambiental, bomberil)</w:t>
      </w:r>
      <w:r w:rsidRPr="002B7F65">
        <w:t xml:space="preserve"> puede comprometer responsabilidad fiscal si se condona un ingreso que el Municipio no es titular de disponer.</w:t>
      </w:r>
    </w:p>
    <w:p w14:paraId="6896C3A9" w14:textId="77777777" w:rsidR="0063166A" w:rsidRPr="002B7F65" w:rsidRDefault="0063166A" w:rsidP="0063166A">
      <w:pPr>
        <w:numPr>
          <w:ilvl w:val="0"/>
          <w:numId w:val="39"/>
        </w:numPr>
        <w:spacing w:line="360" w:lineRule="auto"/>
        <w:jc w:val="both"/>
      </w:pPr>
      <w:r w:rsidRPr="002B7F65">
        <w:t>No se observa un esquema de límites y gradualidad diferenciado para escenarios de actualización y de rezago catastral, ni reglas de coordinación con cambios tarifarios; esto puede producir saltos abruptos en la carga tributaria.</w:t>
      </w:r>
    </w:p>
    <w:p w14:paraId="7ADD20C7" w14:textId="77777777" w:rsidR="0063166A" w:rsidRPr="00F57929" w:rsidRDefault="0063166A" w:rsidP="0063166A">
      <w:pPr>
        <w:numPr>
          <w:ilvl w:val="0"/>
          <w:numId w:val="39"/>
        </w:numPr>
        <w:spacing w:after="0" w:line="360" w:lineRule="auto"/>
        <w:jc w:val="both"/>
      </w:pPr>
      <w:r w:rsidRPr="002B7F65">
        <w:lastRenderedPageBreak/>
        <w:t>Sobretasa ambiental del 1,5‰ liquidada sobre el mismo avalúo base del IPU</w:t>
      </w:r>
      <w:r w:rsidRPr="00F57929">
        <w:t>.</w:t>
      </w:r>
    </w:p>
    <w:p w14:paraId="103F7233" w14:textId="77777777" w:rsidR="0063166A" w:rsidRPr="002B7F65" w:rsidRDefault="0063166A" w:rsidP="0063166A">
      <w:pPr>
        <w:numPr>
          <w:ilvl w:val="0"/>
          <w:numId w:val="39"/>
        </w:numPr>
        <w:spacing w:line="360" w:lineRule="auto"/>
        <w:jc w:val="both"/>
      </w:pPr>
      <w:r w:rsidRPr="002B7F65">
        <w:t>Se declara como de prohibido gravamen a los predios definidos legalmente como parques naturales o parques públicos de propiedad estatal</w:t>
      </w:r>
      <w:r w:rsidRPr="00F57929">
        <w:t>.</w:t>
      </w:r>
    </w:p>
    <w:p w14:paraId="6D0CC466" w14:textId="77777777" w:rsidR="0063166A" w:rsidRPr="002B7F65" w:rsidRDefault="0063166A" w:rsidP="0063166A">
      <w:pPr>
        <w:numPr>
          <w:ilvl w:val="0"/>
          <w:numId w:val="39"/>
        </w:numPr>
        <w:spacing w:line="360" w:lineRule="auto"/>
        <w:jc w:val="both"/>
      </w:pPr>
      <w:r w:rsidRPr="002B7F65">
        <w:t>Se otorga beneficio del 50 % del impuesto a inmuebles plantados, reforestados o con cobertura vegetal natural en suelos de protección hídrica cuando al menos el 70 % del área está bajo esa condición y debidamente certificada</w:t>
      </w:r>
      <w:r w:rsidRPr="00F57929">
        <w:t>.</w:t>
      </w:r>
    </w:p>
    <w:p w14:paraId="1DD76DE6" w14:textId="77777777" w:rsidR="0063166A" w:rsidRPr="002B7F65" w:rsidRDefault="0063166A" w:rsidP="0063166A">
      <w:pPr>
        <w:numPr>
          <w:ilvl w:val="0"/>
          <w:numId w:val="39"/>
        </w:numPr>
        <w:spacing w:line="360" w:lineRule="auto"/>
        <w:jc w:val="both"/>
      </w:pPr>
      <w:r w:rsidRPr="002B7F65">
        <w:t>Se reconoce beneficio para zonas destinadas a conservación de especies nativas o exóticas y herbarios de jardines botánicos, sin un procedimiento único de delimitación geoespacial, verificación anual ni estimación del costo fiscal; esto dificulta el control y la trazabilidad.</w:t>
      </w:r>
    </w:p>
    <w:p w14:paraId="6C9FD928" w14:textId="77777777" w:rsidR="0063166A" w:rsidRPr="002B7F65" w:rsidRDefault="0063166A" w:rsidP="0063166A">
      <w:pPr>
        <w:spacing w:line="360" w:lineRule="auto"/>
        <w:ind w:left="720"/>
        <w:jc w:val="both"/>
      </w:pPr>
    </w:p>
    <w:p w14:paraId="4B5AD41C" w14:textId="77777777" w:rsidR="0063166A" w:rsidRPr="001172CD" w:rsidRDefault="0063166A" w:rsidP="0063166A">
      <w:pPr>
        <w:spacing w:line="360" w:lineRule="auto"/>
        <w:jc w:val="both"/>
        <w:rPr>
          <w:b/>
          <w:bCs/>
          <w:sz w:val="32"/>
          <w:szCs w:val="32"/>
        </w:rPr>
      </w:pPr>
      <w:r w:rsidRPr="001172CD">
        <w:rPr>
          <w:b/>
          <w:bCs/>
          <w:sz w:val="32"/>
          <w:szCs w:val="32"/>
        </w:rPr>
        <w:t>Recomendaciones</w:t>
      </w:r>
    </w:p>
    <w:p w14:paraId="76880452" w14:textId="77777777" w:rsidR="0063166A" w:rsidRPr="002B7F65" w:rsidRDefault="0063166A" w:rsidP="0063166A">
      <w:pPr>
        <w:numPr>
          <w:ilvl w:val="0"/>
          <w:numId w:val="40"/>
        </w:numPr>
        <w:spacing w:line="360" w:lineRule="auto"/>
        <w:jc w:val="both"/>
      </w:pPr>
      <w:r w:rsidRPr="002B7F65">
        <w:t>Actualizar la tabla de destinos económicos conforme a la Resolución 2025060163216 para alinear integralmente el estatuto con el modelo LADM-COL v4.1 y evitar vacíos tarifarios.</w:t>
      </w:r>
    </w:p>
    <w:p w14:paraId="5B1AA8EF" w14:textId="77777777" w:rsidR="0063166A" w:rsidRPr="002B7F65" w:rsidRDefault="0063166A" w:rsidP="0063166A">
      <w:pPr>
        <w:numPr>
          <w:ilvl w:val="0"/>
          <w:numId w:val="40"/>
        </w:numPr>
        <w:spacing w:line="360" w:lineRule="auto"/>
        <w:jc w:val="both"/>
      </w:pPr>
      <w:r w:rsidRPr="002B7F65">
        <w:t>Adoptar por acto expreso la Resolución 1040 de 2023 del IGAC como marco operativo de procedimientos y nomenclaturas catastrales</w:t>
      </w:r>
      <w:r w:rsidRPr="00F57929">
        <w:t>.</w:t>
      </w:r>
    </w:p>
    <w:p w14:paraId="28CFCF4A" w14:textId="77777777" w:rsidR="0063166A" w:rsidRPr="002B7F65" w:rsidRDefault="0063166A" w:rsidP="0063166A">
      <w:pPr>
        <w:numPr>
          <w:ilvl w:val="0"/>
          <w:numId w:val="40"/>
        </w:numPr>
        <w:spacing w:line="360" w:lineRule="auto"/>
        <w:jc w:val="both"/>
      </w:pPr>
      <w:r w:rsidRPr="002B7F65">
        <w:t>Simplificar la matriz tarifaria a un criterio único y objetivo. Dada la cobertura incompleta de estratificación, privilegiar la clasificación por rangos de avalúo en UVT y por destinación económica, eliminando duplicidades entre “habitacional por estrato” y “vivienda sin estratificación”.</w:t>
      </w:r>
    </w:p>
    <w:p w14:paraId="47500407" w14:textId="77777777" w:rsidR="0063166A" w:rsidRPr="002B7F65" w:rsidRDefault="0063166A" w:rsidP="0063166A">
      <w:pPr>
        <w:numPr>
          <w:ilvl w:val="0"/>
          <w:numId w:val="40"/>
        </w:numPr>
        <w:spacing w:line="360" w:lineRule="auto"/>
        <w:jc w:val="both"/>
      </w:pPr>
      <w:r w:rsidRPr="002B7F65">
        <w:t xml:space="preserve">Definir el tratamiento de los inmuebles destinados exclusivamente al culto: si corresponden a “prohibido gravamen”, suprímase su </w:t>
      </w:r>
      <w:proofErr w:type="spellStart"/>
      <w:r w:rsidRPr="002B7F65">
        <w:t>milaje</w:t>
      </w:r>
      <w:proofErr w:type="spellEnd"/>
      <w:r w:rsidRPr="002B7F65">
        <w:t xml:space="preserve"> de la matriz</w:t>
      </w:r>
      <w:r w:rsidRPr="00F57929">
        <w:t>.</w:t>
      </w:r>
    </w:p>
    <w:p w14:paraId="63B75895" w14:textId="77777777" w:rsidR="0063166A" w:rsidRPr="002B7F65" w:rsidRDefault="0063166A" w:rsidP="0063166A">
      <w:pPr>
        <w:numPr>
          <w:ilvl w:val="0"/>
          <w:numId w:val="40"/>
        </w:numPr>
        <w:spacing w:line="360" w:lineRule="auto"/>
        <w:jc w:val="both"/>
      </w:pPr>
      <w:r w:rsidRPr="002B7F65">
        <w:t>Fortalecer la determinación por factura con mérito ejecutivo: incorporar en el estatuto el contenido mínimo (identificación predial, base, tarifa, liquidación, fundamentos, recursos, vencimientos), el protocolo de notificación (web/cartelera, aviso</w:t>
      </w:r>
      <w:r w:rsidRPr="00F57929">
        <w:t>)</w:t>
      </w:r>
    </w:p>
    <w:p w14:paraId="0BCE3661" w14:textId="77777777" w:rsidR="0063166A" w:rsidRPr="002B7F65" w:rsidRDefault="0063166A" w:rsidP="0063166A">
      <w:pPr>
        <w:numPr>
          <w:ilvl w:val="0"/>
          <w:numId w:val="40"/>
        </w:numPr>
        <w:spacing w:line="360" w:lineRule="auto"/>
        <w:jc w:val="both"/>
      </w:pPr>
      <w:r w:rsidRPr="002B7F65">
        <w:t xml:space="preserve">Establecer reglas mínimas del calendario tributario y del pronto pago dentro del estatuto, de forma que los actos anuales solo </w:t>
      </w:r>
      <w:r w:rsidRPr="00F57929">
        <w:t>parametricen</w:t>
      </w:r>
      <w:r w:rsidRPr="002B7F65">
        <w:t xml:space="preserve"> fechas.</w:t>
      </w:r>
    </w:p>
    <w:p w14:paraId="0108F073" w14:textId="77777777" w:rsidR="0063166A" w:rsidRPr="002B7F65" w:rsidRDefault="0063166A" w:rsidP="0063166A">
      <w:pPr>
        <w:numPr>
          <w:ilvl w:val="0"/>
          <w:numId w:val="40"/>
        </w:numPr>
        <w:spacing w:line="360" w:lineRule="auto"/>
        <w:jc w:val="both"/>
      </w:pPr>
      <w:r w:rsidRPr="002B7F65">
        <w:lastRenderedPageBreak/>
        <w:t xml:space="preserve">Separar con claridad “prohibido gravamen”, exclusiones, exenciones y tratamientos especiales; unificar procedimientos de acreditación, vigencia, pérdida del beneficio y </w:t>
      </w:r>
      <w:r>
        <w:t xml:space="preserve">analizar el </w:t>
      </w:r>
      <w:r w:rsidRPr="002B7F65">
        <w:t>costo fiscal.</w:t>
      </w:r>
    </w:p>
    <w:p w14:paraId="4EFD0AA6" w14:textId="77777777" w:rsidR="0063166A" w:rsidRPr="002B7F65" w:rsidRDefault="0063166A" w:rsidP="0063166A">
      <w:pPr>
        <w:numPr>
          <w:ilvl w:val="0"/>
          <w:numId w:val="40"/>
        </w:numPr>
        <w:spacing w:line="360" w:lineRule="auto"/>
        <w:jc w:val="both"/>
      </w:pPr>
      <w:r w:rsidRPr="002B7F65">
        <w:t>Reencuadrar la condonación para predios restituidos: limitarla al IPU de competencia municipal o, si se persiste en incluir tasas/sobretasas, crear un mecanismo de reconocimiento y giro con la autoridad titular del ingreso (p. ej., autoridad ambiental), evitando comprometer recursos de terceros.</w:t>
      </w:r>
    </w:p>
    <w:p w14:paraId="5C8E55D9" w14:textId="77777777" w:rsidR="0063166A" w:rsidRPr="000D7F37" w:rsidRDefault="0063166A" w:rsidP="0063166A">
      <w:pPr>
        <w:numPr>
          <w:ilvl w:val="0"/>
          <w:numId w:val="40"/>
        </w:numPr>
        <w:spacing w:after="0" w:line="360" w:lineRule="auto"/>
        <w:jc w:val="both"/>
      </w:pPr>
      <w:r w:rsidRPr="002B7F65">
        <w:t xml:space="preserve">Implementar un esquema de límites </w:t>
      </w:r>
      <w:r>
        <w:t xml:space="preserve">para </w:t>
      </w:r>
      <w:r w:rsidRPr="002B7F65">
        <w:t>actualización y rezago catastral, con topes anuales, duración definida y coordinación con variaciones tarifarias para prevenir saltos abruptos.</w:t>
      </w:r>
    </w:p>
    <w:p w14:paraId="5B805F70" w14:textId="77777777" w:rsidR="0063166A" w:rsidRPr="00F57929" w:rsidRDefault="0063166A" w:rsidP="0063166A">
      <w:pPr>
        <w:numPr>
          <w:ilvl w:val="0"/>
          <w:numId w:val="40"/>
        </w:numPr>
        <w:spacing w:after="0" w:line="360" w:lineRule="auto"/>
        <w:jc w:val="both"/>
      </w:pPr>
      <w:r w:rsidRPr="002B7F65">
        <w:t xml:space="preserve">Aplicar esos límites y transiciones también a cualquier </w:t>
      </w:r>
      <w:r w:rsidRPr="00F57929">
        <w:t xml:space="preserve">tributo </w:t>
      </w:r>
      <w:r w:rsidRPr="002B7F65">
        <w:t>atad</w:t>
      </w:r>
      <w:r w:rsidRPr="00F57929">
        <w:t>o</w:t>
      </w:r>
      <w:r w:rsidRPr="002B7F65">
        <w:t xml:space="preserve"> al IPU, de modo que el impacto </w:t>
      </w:r>
      <w:r w:rsidRPr="00F57929">
        <w:t>final</w:t>
      </w:r>
      <w:r w:rsidRPr="002B7F65">
        <w:t xml:space="preserve"> sobre el contribuyente no se </w:t>
      </w:r>
      <w:r w:rsidRPr="00F57929">
        <w:t>sienta desbordado</w:t>
      </w:r>
    </w:p>
    <w:p w14:paraId="66DA4452" w14:textId="77777777" w:rsidR="0063166A" w:rsidRPr="001B471C" w:rsidRDefault="0063166A" w:rsidP="0063166A">
      <w:pPr>
        <w:numPr>
          <w:ilvl w:val="0"/>
          <w:numId w:val="40"/>
        </w:numPr>
        <w:spacing w:line="360" w:lineRule="auto"/>
        <w:jc w:val="both"/>
      </w:pPr>
      <w:r w:rsidRPr="00F57929">
        <w:t>Modificar</w:t>
      </w:r>
      <w:r w:rsidRPr="001B471C">
        <w:t xml:space="preserve"> el beneficio ambiental del 50 % por un esquema progresivo que incentive mayores porcentajes de conservación</w:t>
      </w:r>
      <w:r w:rsidRPr="00F57929">
        <w:t>. T</w:t>
      </w:r>
      <w:r w:rsidRPr="001B471C">
        <w:t>ramos entre 70 % y 100 % del área protegida</w:t>
      </w:r>
      <w:r w:rsidRPr="00F57929">
        <w:t xml:space="preserve"> tendrán un beneficio proporcional al área protegida.</w:t>
      </w:r>
    </w:p>
    <w:p w14:paraId="19A269B2" w14:textId="77777777" w:rsidR="00707E60" w:rsidRDefault="00707E60"/>
    <w:p w14:paraId="3158B45A" w14:textId="77777777" w:rsidR="00707E60" w:rsidRDefault="00707E60"/>
    <w:p w14:paraId="43A6B5BA" w14:textId="77777777" w:rsidR="00707E60" w:rsidRDefault="00707E60"/>
    <w:sectPr w:rsidR="00707E60" w:rsidSect="00707E60"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132B9" w14:textId="77777777" w:rsidR="004D77D4" w:rsidRDefault="004D77D4" w:rsidP="00707E60">
      <w:pPr>
        <w:spacing w:after="0" w:line="240" w:lineRule="auto"/>
      </w:pPr>
      <w:r>
        <w:separator/>
      </w:r>
    </w:p>
  </w:endnote>
  <w:endnote w:type="continuationSeparator" w:id="0">
    <w:p w14:paraId="1930F733" w14:textId="77777777" w:rsidR="004D77D4" w:rsidRDefault="004D77D4" w:rsidP="00707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94536840"/>
      <w:docPartObj>
        <w:docPartGallery w:val="Page Numbers (Bottom of Page)"/>
        <w:docPartUnique/>
      </w:docPartObj>
    </w:sdtPr>
    <w:sdtContent>
      <w:p w14:paraId="5B7F2B64" w14:textId="68F29198" w:rsidR="00707E60" w:rsidRDefault="00707E60" w:rsidP="000334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01427EE" w14:textId="77777777" w:rsidR="00707E60" w:rsidRDefault="00707E60" w:rsidP="00707E6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00755832"/>
      <w:docPartObj>
        <w:docPartGallery w:val="Page Numbers (Bottom of Page)"/>
        <w:docPartUnique/>
      </w:docPartObj>
    </w:sdtPr>
    <w:sdtContent>
      <w:p w14:paraId="4BC3D90B" w14:textId="5F218685" w:rsidR="00707E60" w:rsidRDefault="00707E60" w:rsidP="000334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C2F8937" w14:textId="77777777" w:rsidR="00707E60" w:rsidRDefault="00707E60" w:rsidP="00707E6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FCDC7" w14:textId="77777777" w:rsidR="004D77D4" w:rsidRDefault="004D77D4" w:rsidP="00707E60">
      <w:pPr>
        <w:spacing w:after="0" w:line="240" w:lineRule="auto"/>
      </w:pPr>
      <w:r>
        <w:separator/>
      </w:r>
    </w:p>
  </w:footnote>
  <w:footnote w:type="continuationSeparator" w:id="0">
    <w:p w14:paraId="78A9127C" w14:textId="77777777" w:rsidR="004D77D4" w:rsidRDefault="004D77D4" w:rsidP="00707E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EA336" w14:textId="7FD62BEC" w:rsidR="00707E60" w:rsidRDefault="00707E60" w:rsidP="00707E60">
    <w:pPr>
      <w:pStyle w:val="Header"/>
    </w:pPr>
    <w:r w:rsidRPr="006F3507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9CC783E" wp14:editId="59162596">
              <wp:simplePos x="0" y="0"/>
              <wp:positionH relativeFrom="column">
                <wp:posOffset>38500</wp:posOffset>
              </wp:positionH>
              <wp:positionV relativeFrom="paragraph">
                <wp:posOffset>-112696</wp:posOffset>
              </wp:positionV>
              <wp:extent cx="3484345" cy="551145"/>
              <wp:effectExtent l="0" t="0" r="0" b="0"/>
              <wp:wrapNone/>
              <wp:docPr id="4" name="CuadroTexto 3">
                <a:extLst xmlns:a="http://schemas.openxmlformats.org/drawingml/2006/main">
                  <a:ext uri="{FF2B5EF4-FFF2-40B4-BE49-F238E27FC236}">
                    <a16:creationId xmlns:a16="http://schemas.microsoft.com/office/drawing/2014/main" id="{0BAB22FA-B3FF-7701-F2F6-CC0537A91E39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84345" cy="5511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45AB46E" w14:textId="77777777" w:rsidR="00DD0016" w:rsidRPr="00327CFA" w:rsidRDefault="00DD0016" w:rsidP="00DD0016">
                          <w:pPr>
                            <w:pStyle w:val="NoSpacing"/>
                            <w:rPr>
                              <w:b/>
                              <w:bCs/>
                              <w:color w:val="000000" w:themeColor="text1"/>
                            </w:rPr>
                          </w:pPr>
                          <w:r w:rsidRPr="00AB4389">
                            <w:rPr>
                              <w:b/>
                              <w:bCs/>
                              <w:color w:val="000000" w:themeColor="text1"/>
                            </w:rPr>
                            <w:t>Análisis Jurídico de Estatuto Tributario</w:t>
                          </w:r>
                        </w:p>
                        <w:p w14:paraId="55DF06F3" w14:textId="2EE17A93" w:rsidR="00707E60" w:rsidRPr="00707E60" w:rsidRDefault="00707E60" w:rsidP="00707E60">
                          <w:pPr>
                            <w:pStyle w:val="NoSpacing"/>
                            <w:rPr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707E60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>Ficha Municipio</w:t>
                          </w:r>
                          <w:r w:rsidR="00723620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 xml:space="preserve"> </w:t>
                          </w:r>
                          <w:r w:rsidR="005B1B2A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>El Santuario</w:t>
                          </w:r>
                        </w:p>
                      </w:txbxContent>
                    </wps:txbx>
                    <wps:bodyPr wrap="square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CC783E" id="_x0000_t202" coordsize="21600,21600" o:spt="202" path="m,l,21600r21600,l21600,xe">
              <v:stroke joinstyle="miter"/>
              <v:path gradientshapeok="t" o:connecttype="rect"/>
            </v:shapetype>
            <v:shape id="CuadroTexto 3" o:spid="_x0000_s1026" type="#_x0000_t202" style="position:absolute;margin-left:3.05pt;margin-top:-8.85pt;width:274.35pt;height:4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" filled="f" stroked="f">
              <v:textbox>
                <w:txbxContent>
                  <w:p w14:paraId="745AB46E" w14:textId="77777777" w:rsidR="00DD0016" w:rsidRPr="00327CFA" w:rsidRDefault="00DD0016" w:rsidP="00DD0016">
                    <w:pPr>
                      <w:pStyle w:val="NoSpacing"/>
                      <w:rPr>
                        <w:b/>
                        <w:bCs/>
                        <w:color w:val="000000" w:themeColor="text1"/>
                      </w:rPr>
                    </w:pPr>
                    <w:r w:rsidRPr="00AB4389">
                      <w:rPr>
                        <w:b/>
                        <w:bCs/>
                        <w:color w:val="000000" w:themeColor="text1"/>
                      </w:rPr>
                      <w:t>Análisis Jurídico de Estatuto Tributario</w:t>
                    </w:r>
                  </w:p>
                  <w:p w14:paraId="55DF06F3" w14:textId="2EE17A93" w:rsidR="00707E60" w:rsidRPr="00707E60" w:rsidRDefault="00707E60" w:rsidP="00707E60">
                    <w:pPr>
                      <w:pStyle w:val="NoSpacing"/>
                      <w:rPr>
                        <w:color w:val="000000" w:themeColor="text1"/>
                        <w:sz w:val="28"/>
                        <w:szCs w:val="28"/>
                      </w:rPr>
                    </w:pPr>
                    <w:r w:rsidRPr="00707E60">
                      <w:rPr>
                        <w:color w:val="000000" w:themeColor="text1"/>
                        <w:sz w:val="28"/>
                        <w:szCs w:val="28"/>
                      </w:rPr>
                      <w:t>Ficha Municipio</w:t>
                    </w:r>
                    <w:r w:rsidR="00723620">
                      <w:rPr>
                        <w:color w:val="000000" w:themeColor="text1"/>
                        <w:sz w:val="28"/>
                        <w:szCs w:val="28"/>
                      </w:rPr>
                      <w:t xml:space="preserve"> </w:t>
                    </w:r>
                    <w:r w:rsidR="005B1B2A">
                      <w:rPr>
                        <w:color w:val="000000" w:themeColor="text1"/>
                        <w:sz w:val="28"/>
                        <w:szCs w:val="28"/>
                      </w:rPr>
                      <w:t>El Santuario</w:t>
                    </w:r>
                  </w:p>
                </w:txbxContent>
              </v:textbox>
            </v:shape>
          </w:pict>
        </mc:Fallback>
      </mc:AlternateContent>
    </w:r>
    <w:r w:rsidRPr="001B18EF">
      <w:rPr>
        <w:noProof/>
        <w:lang w:eastAsia="es-CO"/>
      </w:rPr>
      <w:drawing>
        <wp:anchor distT="0" distB="0" distL="114300" distR="114300" simplePos="0" relativeHeight="251660288" behindDoc="0" locked="0" layoutInCell="1" allowOverlap="1" wp14:anchorId="015C3FBD" wp14:editId="7BF962BD">
          <wp:simplePos x="0" y="0"/>
          <wp:positionH relativeFrom="column">
            <wp:posOffset>3844925</wp:posOffset>
          </wp:positionH>
          <wp:positionV relativeFrom="paragraph">
            <wp:posOffset>-174224</wp:posOffset>
          </wp:positionV>
          <wp:extent cx="2125345" cy="612775"/>
          <wp:effectExtent l="0" t="0" r="0" b="0"/>
          <wp:wrapSquare wrapText="bothSides"/>
          <wp:docPr id="866569291" name="Picture 9" descr="A black and grey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6569291" name="Picture 9" descr="A black and grey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5345" cy="612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75253"/>
    <w:multiLevelType w:val="multilevel"/>
    <w:tmpl w:val="BBF079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42059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06254D"/>
    <w:multiLevelType w:val="hybridMultilevel"/>
    <w:tmpl w:val="8CE80F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CD5BA7"/>
    <w:multiLevelType w:val="multilevel"/>
    <w:tmpl w:val="EE24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24D8A"/>
    <w:multiLevelType w:val="hybridMultilevel"/>
    <w:tmpl w:val="EC0A02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D62E08"/>
    <w:multiLevelType w:val="multilevel"/>
    <w:tmpl w:val="EE24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5656B6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801299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37385E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C3475C"/>
    <w:multiLevelType w:val="multilevel"/>
    <w:tmpl w:val="C4D4A4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023C47"/>
    <w:multiLevelType w:val="hybridMultilevel"/>
    <w:tmpl w:val="7FE05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7C7ECF"/>
    <w:multiLevelType w:val="hybridMultilevel"/>
    <w:tmpl w:val="22F0A7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AC1018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861743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F91FF4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DB7B26"/>
    <w:multiLevelType w:val="multilevel"/>
    <w:tmpl w:val="C4D4A4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FC0CEF"/>
    <w:multiLevelType w:val="hybridMultilevel"/>
    <w:tmpl w:val="AB4C106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C70384"/>
    <w:multiLevelType w:val="multilevel"/>
    <w:tmpl w:val="118C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127BE5"/>
    <w:multiLevelType w:val="hybridMultilevel"/>
    <w:tmpl w:val="B8A64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1E7BEA"/>
    <w:multiLevelType w:val="multilevel"/>
    <w:tmpl w:val="F252FA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780CED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2B2877"/>
    <w:multiLevelType w:val="hybridMultilevel"/>
    <w:tmpl w:val="135ACA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E62793"/>
    <w:multiLevelType w:val="multilevel"/>
    <w:tmpl w:val="C4D4A4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8C01C3"/>
    <w:multiLevelType w:val="hybridMultilevel"/>
    <w:tmpl w:val="AC9A32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C62DA3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9B2B40"/>
    <w:multiLevelType w:val="multilevel"/>
    <w:tmpl w:val="C4D4A4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FF47F6"/>
    <w:multiLevelType w:val="multilevel"/>
    <w:tmpl w:val="C4D4A4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7EA7D8E"/>
    <w:multiLevelType w:val="multilevel"/>
    <w:tmpl w:val="E9DE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B00E25"/>
    <w:multiLevelType w:val="multilevel"/>
    <w:tmpl w:val="C4D4A4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A5B1FDE"/>
    <w:multiLevelType w:val="multilevel"/>
    <w:tmpl w:val="838C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D71B67"/>
    <w:multiLevelType w:val="multilevel"/>
    <w:tmpl w:val="BBF079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EA4E6E"/>
    <w:multiLevelType w:val="multilevel"/>
    <w:tmpl w:val="F252FA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5A54FD"/>
    <w:multiLevelType w:val="multilevel"/>
    <w:tmpl w:val="C4D4A4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B1F4DAA"/>
    <w:multiLevelType w:val="multilevel"/>
    <w:tmpl w:val="C4D4A4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BDF2431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FB250DE"/>
    <w:multiLevelType w:val="multilevel"/>
    <w:tmpl w:val="F252FA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52D16B3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7E011F3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D4B03A6"/>
    <w:multiLevelType w:val="multilevel"/>
    <w:tmpl w:val="4B44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750FC5"/>
    <w:multiLevelType w:val="multilevel"/>
    <w:tmpl w:val="F252FA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17704">
    <w:abstractNumId w:val="10"/>
  </w:num>
  <w:num w:numId="2" w16cid:durableId="1017347282">
    <w:abstractNumId w:val="18"/>
  </w:num>
  <w:num w:numId="3" w16cid:durableId="44450645">
    <w:abstractNumId w:val="30"/>
  </w:num>
  <w:num w:numId="4" w16cid:durableId="1953855267">
    <w:abstractNumId w:val="0"/>
  </w:num>
  <w:num w:numId="5" w16cid:durableId="279457733">
    <w:abstractNumId w:val="12"/>
  </w:num>
  <w:num w:numId="6" w16cid:durableId="829055416">
    <w:abstractNumId w:val="1"/>
  </w:num>
  <w:num w:numId="7" w16cid:durableId="1974747392">
    <w:abstractNumId w:val="8"/>
  </w:num>
  <w:num w:numId="8" w16cid:durableId="1342120387">
    <w:abstractNumId w:val="24"/>
  </w:num>
  <w:num w:numId="9" w16cid:durableId="350257001">
    <w:abstractNumId w:val="7"/>
  </w:num>
  <w:num w:numId="10" w16cid:durableId="1078140204">
    <w:abstractNumId w:val="13"/>
  </w:num>
  <w:num w:numId="11" w16cid:durableId="1792938771">
    <w:abstractNumId w:val="14"/>
  </w:num>
  <w:num w:numId="12" w16cid:durableId="1526560268">
    <w:abstractNumId w:val="34"/>
  </w:num>
  <w:num w:numId="13" w16cid:durableId="684139451">
    <w:abstractNumId w:val="36"/>
  </w:num>
  <w:num w:numId="14" w16cid:durableId="2066485375">
    <w:abstractNumId w:val="37"/>
  </w:num>
  <w:num w:numId="15" w16cid:durableId="1048799774">
    <w:abstractNumId w:val="6"/>
  </w:num>
  <w:num w:numId="16" w16cid:durableId="763765178">
    <w:abstractNumId w:val="20"/>
  </w:num>
  <w:num w:numId="17" w16cid:durableId="312298011">
    <w:abstractNumId w:val="28"/>
  </w:num>
  <w:num w:numId="18" w16cid:durableId="1720469911">
    <w:abstractNumId w:val="22"/>
  </w:num>
  <w:num w:numId="19" w16cid:durableId="435371494">
    <w:abstractNumId w:val="25"/>
  </w:num>
  <w:num w:numId="20" w16cid:durableId="295719448">
    <w:abstractNumId w:val="26"/>
  </w:num>
  <w:num w:numId="21" w16cid:durableId="1577745992">
    <w:abstractNumId w:val="15"/>
  </w:num>
  <w:num w:numId="22" w16cid:durableId="1267925568">
    <w:abstractNumId w:val="32"/>
  </w:num>
  <w:num w:numId="23" w16cid:durableId="1861967186">
    <w:abstractNumId w:val="9"/>
  </w:num>
  <w:num w:numId="24" w16cid:durableId="601374337">
    <w:abstractNumId w:val="33"/>
  </w:num>
  <w:num w:numId="25" w16cid:durableId="1162700760">
    <w:abstractNumId w:val="35"/>
  </w:num>
  <w:num w:numId="26" w16cid:durableId="581332385">
    <w:abstractNumId w:val="19"/>
  </w:num>
  <w:num w:numId="27" w16cid:durableId="423887808">
    <w:abstractNumId w:val="31"/>
  </w:num>
  <w:num w:numId="28" w16cid:durableId="1186863597">
    <w:abstractNumId w:val="39"/>
  </w:num>
  <w:num w:numId="29" w16cid:durableId="340359362">
    <w:abstractNumId w:val="2"/>
  </w:num>
  <w:num w:numId="30" w16cid:durableId="1619264905">
    <w:abstractNumId w:val="4"/>
  </w:num>
  <w:num w:numId="31" w16cid:durableId="97989699">
    <w:abstractNumId w:val="11"/>
  </w:num>
  <w:num w:numId="32" w16cid:durableId="55206863">
    <w:abstractNumId w:val="23"/>
  </w:num>
  <w:num w:numId="33" w16cid:durableId="1697734897">
    <w:abstractNumId w:val="21"/>
  </w:num>
  <w:num w:numId="34" w16cid:durableId="720978602">
    <w:abstractNumId w:val="16"/>
  </w:num>
  <w:num w:numId="35" w16cid:durableId="1909030509">
    <w:abstractNumId w:val="27"/>
  </w:num>
  <w:num w:numId="36" w16cid:durableId="1979188356">
    <w:abstractNumId w:val="38"/>
  </w:num>
  <w:num w:numId="37" w16cid:durableId="1274362992">
    <w:abstractNumId w:val="29"/>
  </w:num>
  <w:num w:numId="38" w16cid:durableId="208806111">
    <w:abstractNumId w:val="17"/>
  </w:num>
  <w:num w:numId="39" w16cid:durableId="446856477">
    <w:abstractNumId w:val="5"/>
  </w:num>
  <w:num w:numId="40" w16cid:durableId="12817675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E60"/>
    <w:rsid w:val="0005161C"/>
    <w:rsid w:val="00084B98"/>
    <w:rsid w:val="000D7615"/>
    <w:rsid w:val="001172CD"/>
    <w:rsid w:val="00120797"/>
    <w:rsid w:val="00134527"/>
    <w:rsid w:val="001C6F8E"/>
    <w:rsid w:val="001E6E73"/>
    <w:rsid w:val="00211E44"/>
    <w:rsid w:val="00231736"/>
    <w:rsid w:val="0023618C"/>
    <w:rsid w:val="0031580C"/>
    <w:rsid w:val="0034535B"/>
    <w:rsid w:val="003650D0"/>
    <w:rsid w:val="003A7CEA"/>
    <w:rsid w:val="003E2241"/>
    <w:rsid w:val="003E2F94"/>
    <w:rsid w:val="004107CA"/>
    <w:rsid w:val="004D77D4"/>
    <w:rsid w:val="005422DF"/>
    <w:rsid w:val="00544342"/>
    <w:rsid w:val="005B1B2A"/>
    <w:rsid w:val="005C3FCA"/>
    <w:rsid w:val="005D08ED"/>
    <w:rsid w:val="005F7A75"/>
    <w:rsid w:val="00605B4C"/>
    <w:rsid w:val="0063166A"/>
    <w:rsid w:val="006348C8"/>
    <w:rsid w:val="00665846"/>
    <w:rsid w:val="006A249B"/>
    <w:rsid w:val="006A428E"/>
    <w:rsid w:val="006E68D4"/>
    <w:rsid w:val="00701CC9"/>
    <w:rsid w:val="00707E60"/>
    <w:rsid w:val="00723620"/>
    <w:rsid w:val="00740366"/>
    <w:rsid w:val="0075330F"/>
    <w:rsid w:val="007C2E1E"/>
    <w:rsid w:val="00813F67"/>
    <w:rsid w:val="00844CC8"/>
    <w:rsid w:val="00845F02"/>
    <w:rsid w:val="00855468"/>
    <w:rsid w:val="008677F9"/>
    <w:rsid w:val="00933720"/>
    <w:rsid w:val="009501F5"/>
    <w:rsid w:val="009D1788"/>
    <w:rsid w:val="009D1F9E"/>
    <w:rsid w:val="00A27409"/>
    <w:rsid w:val="00A53B01"/>
    <w:rsid w:val="00A55C9A"/>
    <w:rsid w:val="00A60686"/>
    <w:rsid w:val="00A96461"/>
    <w:rsid w:val="00AA7DD4"/>
    <w:rsid w:val="00B01FF5"/>
    <w:rsid w:val="00B34D3F"/>
    <w:rsid w:val="00B9278F"/>
    <w:rsid w:val="00B9597A"/>
    <w:rsid w:val="00BC7035"/>
    <w:rsid w:val="00BE3801"/>
    <w:rsid w:val="00C04706"/>
    <w:rsid w:val="00C24423"/>
    <w:rsid w:val="00C3440A"/>
    <w:rsid w:val="00C431F2"/>
    <w:rsid w:val="00C4509C"/>
    <w:rsid w:val="00C942B0"/>
    <w:rsid w:val="00D37EF2"/>
    <w:rsid w:val="00D72AAC"/>
    <w:rsid w:val="00DB14E5"/>
    <w:rsid w:val="00DD0016"/>
    <w:rsid w:val="00E20762"/>
    <w:rsid w:val="00E20840"/>
    <w:rsid w:val="00E608BE"/>
    <w:rsid w:val="00E85012"/>
    <w:rsid w:val="00F27231"/>
    <w:rsid w:val="00F65205"/>
    <w:rsid w:val="00F92AA2"/>
    <w:rsid w:val="00FA454C"/>
    <w:rsid w:val="00FD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D2BB83"/>
  <w15:chartTrackingRefBased/>
  <w15:docId w15:val="{AC92E50B-06D8-7E40-8625-54C1C7854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E60"/>
    <w:pPr>
      <w:spacing w:after="160" w:line="259" w:lineRule="auto"/>
    </w:pPr>
    <w:rPr>
      <w:rFonts w:eastAsiaTheme="minorHAnsi"/>
      <w:sz w:val="22"/>
      <w:szCs w:val="22"/>
      <w:lang w:val="es-CO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7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E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E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E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E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E6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E6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E60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E60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E60"/>
    <w:rPr>
      <w:rFonts w:eastAsiaTheme="majorEastAsia" w:cstheme="majorBidi"/>
      <w:color w:val="0F4761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E60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E60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E60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E60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Subtitle"/>
    <w:next w:val="Normal"/>
    <w:link w:val="TitleChar"/>
    <w:uiPriority w:val="10"/>
    <w:qFormat/>
    <w:rsid w:val="00AA7DD4"/>
    <w:pPr>
      <w:spacing w:line="360" w:lineRule="auto"/>
      <w:ind w:left="1080" w:hanging="720"/>
      <w:contextualSpacing/>
      <w:jc w:val="both"/>
    </w:pPr>
    <w:rPr>
      <w:b/>
      <w:bCs/>
      <w:color w:val="000000" w:themeColor="text1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AA7DD4"/>
    <w:rPr>
      <w:rFonts w:eastAsiaTheme="majorEastAsia" w:cstheme="majorBidi"/>
      <w:b/>
      <w:bCs/>
      <w:color w:val="000000" w:themeColor="text1"/>
      <w:spacing w:val="15"/>
      <w:sz w:val="32"/>
      <w:szCs w:val="32"/>
      <w:lang w:val="es-CO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E60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707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E60"/>
    <w:rPr>
      <w:i/>
      <w:iCs/>
      <w:color w:val="404040" w:themeColor="text1" w:themeTint="BF"/>
      <w:lang w:val="es-ES"/>
    </w:rPr>
  </w:style>
  <w:style w:type="paragraph" w:styleId="ListParagraph">
    <w:name w:val="List Paragraph"/>
    <w:aliases w:val="Numerado informes,Bibliografía Tesis,Figuras,parrafo,Bolita,Viñeta 4ta"/>
    <w:basedOn w:val="Normal"/>
    <w:link w:val="ListParagraphChar"/>
    <w:uiPriority w:val="34"/>
    <w:qFormat/>
    <w:rsid w:val="00707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E60"/>
    <w:rPr>
      <w:i/>
      <w:iCs/>
      <w:color w:val="0F4761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707E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7E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7E60"/>
    <w:rPr>
      <w:lang w:val="es-ES"/>
    </w:rPr>
  </w:style>
  <w:style w:type="paragraph" w:styleId="Footer">
    <w:name w:val="footer"/>
    <w:basedOn w:val="Normal"/>
    <w:link w:val="FooterChar"/>
    <w:uiPriority w:val="99"/>
    <w:unhideWhenUsed/>
    <w:rsid w:val="00707E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7E60"/>
    <w:rPr>
      <w:lang w:val="es-ES"/>
    </w:rPr>
  </w:style>
  <w:style w:type="paragraph" w:styleId="NoSpacing">
    <w:name w:val="No Spacing"/>
    <w:uiPriority w:val="1"/>
    <w:qFormat/>
    <w:rsid w:val="00707E60"/>
    <w:rPr>
      <w:rFonts w:eastAsiaTheme="minorHAnsi"/>
      <w:kern w:val="2"/>
      <w:sz w:val="22"/>
      <w:szCs w:val="22"/>
      <w:lang w:val="es-CO" w:eastAsia="en-US"/>
      <w14:ligatures w14:val="standardContextual"/>
    </w:rPr>
  </w:style>
  <w:style w:type="character" w:customStyle="1" w:styleId="ListParagraphChar">
    <w:name w:val="List Paragraph Char"/>
    <w:aliases w:val="Numerado informes Char,Bibliografía Tesis Char,Figuras Char,parrafo Char,Bolita Char,Viñeta 4ta Char"/>
    <w:link w:val="ListParagraph"/>
    <w:uiPriority w:val="34"/>
    <w:locked/>
    <w:rsid w:val="00707E60"/>
    <w:rPr>
      <w:lang w:val="es-ES"/>
    </w:rPr>
  </w:style>
  <w:style w:type="character" w:styleId="PageNumber">
    <w:name w:val="page number"/>
    <w:basedOn w:val="DefaultParagraphFont"/>
    <w:uiPriority w:val="99"/>
    <w:semiHidden/>
    <w:unhideWhenUsed/>
    <w:rsid w:val="00707E60"/>
  </w:style>
  <w:style w:type="paragraph" w:customStyle="1" w:styleId="Style1">
    <w:name w:val="Style1"/>
    <w:basedOn w:val="Normal"/>
    <w:qFormat/>
    <w:rsid w:val="00AA7DD4"/>
    <w:pPr>
      <w:spacing w:line="360" w:lineRule="auto"/>
      <w:ind w:left="720" w:hanging="360"/>
      <w:jc w:val="both"/>
    </w:pPr>
    <w:rPr>
      <w:rFonts w:ascii="Aptos" w:hAnsi="Aptos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766</Words>
  <Characters>4372</Characters>
  <Application>Microsoft Office Word</Application>
  <DocSecurity>0</DocSecurity>
  <Lines>36</Lines>
  <Paragraphs>10</Paragraphs>
  <ScaleCrop>false</ScaleCrop>
  <Company/>
  <LinksUpToDate>false</LinksUpToDate>
  <CharactersWithSpaces>5128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Sofia Herazo Castelblanco</dc:creator>
  <cp:keywords/>
  <dc:description/>
  <cp:lastModifiedBy>Ana Sofia Herazo Castelblanco</cp:lastModifiedBy>
  <cp:revision>26</cp:revision>
  <dcterms:created xsi:type="dcterms:W3CDTF">2025-10-23T17:12:00Z</dcterms:created>
  <dcterms:modified xsi:type="dcterms:W3CDTF">2025-11-06T12:56:00Z</dcterms:modified>
</cp:coreProperties>
</file>