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46E885FD"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6A428E">
        <w:rPr>
          <w:color w:val="000000" w:themeColor="text1"/>
          <w:sz w:val="44"/>
          <w:szCs w:val="44"/>
        </w:rPr>
        <w:t>La Unión</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3CED56A6" w14:textId="77777777" w:rsidR="006A428E" w:rsidRPr="006A428E" w:rsidRDefault="006A428E" w:rsidP="006A428E">
      <w:pPr>
        <w:spacing w:line="360" w:lineRule="auto"/>
        <w:jc w:val="both"/>
        <w:rPr>
          <w:rFonts w:ascii="Aptos" w:hAnsi="Aptos" w:cs="Times New Roman"/>
        </w:rPr>
      </w:pPr>
      <w:r w:rsidRPr="006A428E">
        <w:rPr>
          <w:rFonts w:ascii="Aptos" w:hAnsi="Aptos" w:cs="Times New Roman"/>
        </w:rPr>
        <w:lastRenderedPageBreak/>
        <w:t>El estado actual de su normatividad tributaria se establece en el acuerdo: 019 de 2021 y 021 de 2021</w:t>
      </w:r>
    </w:p>
    <w:p w14:paraId="7821E555" w14:textId="77777777" w:rsidR="006A428E" w:rsidRPr="006A428E" w:rsidRDefault="006A428E" w:rsidP="006A428E">
      <w:pPr>
        <w:spacing w:line="360" w:lineRule="auto"/>
        <w:jc w:val="both"/>
        <w:rPr>
          <w:rFonts w:ascii="Aptos" w:hAnsi="Aptos" w:cs="Times New Roman"/>
          <w:b/>
          <w:bCs/>
          <w:sz w:val="32"/>
          <w:szCs w:val="32"/>
        </w:rPr>
      </w:pPr>
      <w:r w:rsidRPr="006A428E">
        <w:rPr>
          <w:rFonts w:ascii="Aptos" w:hAnsi="Aptos" w:cs="Times New Roman"/>
          <w:b/>
          <w:bCs/>
          <w:sz w:val="32"/>
          <w:szCs w:val="32"/>
        </w:rPr>
        <w:t>Hallazgos</w:t>
      </w:r>
    </w:p>
    <w:p w14:paraId="4767F593" w14:textId="77777777" w:rsidR="006A428E" w:rsidRPr="006A428E" w:rsidRDefault="006A428E" w:rsidP="006A428E">
      <w:pPr>
        <w:numPr>
          <w:ilvl w:val="0"/>
          <w:numId w:val="17"/>
        </w:numPr>
        <w:spacing w:line="360" w:lineRule="auto"/>
        <w:jc w:val="both"/>
        <w:rPr>
          <w:rFonts w:ascii="Aptos" w:hAnsi="Aptos" w:cs="Times New Roman"/>
        </w:rPr>
      </w:pPr>
      <w:r w:rsidRPr="006A428E">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A44E071" w14:textId="77777777" w:rsidR="006A428E" w:rsidRPr="006A428E" w:rsidRDefault="006A428E" w:rsidP="006A428E">
      <w:pPr>
        <w:numPr>
          <w:ilvl w:val="0"/>
          <w:numId w:val="17"/>
        </w:numPr>
        <w:spacing w:line="360" w:lineRule="auto"/>
        <w:jc w:val="both"/>
        <w:rPr>
          <w:rFonts w:ascii="Aptos" w:hAnsi="Aptos" w:cs="Times New Roman"/>
        </w:rPr>
      </w:pPr>
      <w:r w:rsidRPr="006A428E">
        <w:rPr>
          <w:rFonts w:ascii="Aptos" w:hAnsi="Aptos" w:cs="Times New Roman"/>
        </w:rPr>
        <w:t>Notificación de la factura: pese a haberse adoptado la determinación oficial vía factura, se ha implementado notificación por correo electrónico, modalidad no prevista para este acto administrativo (debe realizarse por página web y cartelera), con riesgo de invalidez del cobro.</w:t>
      </w:r>
    </w:p>
    <w:p w14:paraId="3F63394D" w14:textId="77777777" w:rsidR="006A428E" w:rsidRPr="006A428E" w:rsidRDefault="006A428E" w:rsidP="006A428E">
      <w:pPr>
        <w:numPr>
          <w:ilvl w:val="0"/>
          <w:numId w:val="17"/>
        </w:numPr>
        <w:spacing w:line="360" w:lineRule="auto"/>
        <w:jc w:val="both"/>
        <w:rPr>
          <w:rFonts w:ascii="Aptos" w:hAnsi="Aptos" w:cs="Times New Roman"/>
        </w:rPr>
      </w:pPr>
      <w:r w:rsidRPr="006A428E">
        <w:rPr>
          <w:rFonts w:ascii="Aptos" w:hAnsi="Aptos" w:cs="Times New Roman"/>
        </w:rPr>
        <w:t>Estructura tarifaria: destinos habitacionales por rangos de avalúo con tarifas 5‰–16‰ y hasta 33‰ para urbanizables no urbanizados o lotes urbanizados no construidos.</w:t>
      </w:r>
    </w:p>
    <w:p w14:paraId="5C9A082D" w14:textId="77777777" w:rsidR="006A428E" w:rsidRPr="006A428E" w:rsidRDefault="006A428E" w:rsidP="006A428E">
      <w:pPr>
        <w:numPr>
          <w:ilvl w:val="0"/>
          <w:numId w:val="17"/>
        </w:numPr>
        <w:spacing w:line="360" w:lineRule="auto"/>
        <w:jc w:val="both"/>
        <w:rPr>
          <w:rFonts w:ascii="Aptos" w:hAnsi="Aptos" w:cs="Times New Roman"/>
        </w:rPr>
      </w:pPr>
      <w:r w:rsidRPr="006A428E">
        <w:rPr>
          <w:rFonts w:ascii="Aptos" w:hAnsi="Aptos" w:cs="Times New Roman"/>
        </w:rPr>
        <w:t>Límites al crecimiento: adopción de Ley 1995 de 2019 para incrementos por actualización catastral.</w:t>
      </w:r>
    </w:p>
    <w:p w14:paraId="1C3891F2" w14:textId="77777777" w:rsidR="006A428E" w:rsidRPr="006A428E" w:rsidRDefault="006A428E" w:rsidP="006A428E">
      <w:pPr>
        <w:numPr>
          <w:ilvl w:val="0"/>
          <w:numId w:val="17"/>
        </w:numPr>
        <w:spacing w:line="360" w:lineRule="auto"/>
        <w:jc w:val="both"/>
        <w:rPr>
          <w:rFonts w:ascii="Aptos" w:hAnsi="Aptos" w:cs="Times New Roman"/>
        </w:rPr>
      </w:pPr>
      <w:r w:rsidRPr="006A428E">
        <w:rPr>
          <w:rFonts w:ascii="Aptos" w:hAnsi="Aptos" w:cs="Times New Roman"/>
        </w:rPr>
        <w:t>Determinación y facturación: trimestral; se emplea bono anticipado para la vigencia siguiente con descuento del 10 %.</w:t>
      </w:r>
    </w:p>
    <w:p w14:paraId="4143C476" w14:textId="77777777" w:rsidR="006A428E" w:rsidRPr="006A428E" w:rsidRDefault="006A428E" w:rsidP="006A428E">
      <w:pPr>
        <w:numPr>
          <w:ilvl w:val="0"/>
          <w:numId w:val="17"/>
        </w:numPr>
        <w:spacing w:line="360" w:lineRule="auto"/>
        <w:jc w:val="both"/>
        <w:rPr>
          <w:rFonts w:ascii="Aptos" w:hAnsi="Aptos" w:cs="Times New Roman"/>
        </w:rPr>
      </w:pPr>
      <w:r w:rsidRPr="006A428E">
        <w:rPr>
          <w:rFonts w:ascii="Aptos" w:hAnsi="Aptos" w:cs="Times New Roman"/>
        </w:rPr>
        <w:t>Sobretasa ambiental: 1,5‰.</w:t>
      </w:r>
    </w:p>
    <w:p w14:paraId="5FD4AAA6" w14:textId="77777777" w:rsidR="006A428E" w:rsidRPr="006A428E" w:rsidRDefault="006A428E" w:rsidP="006A428E">
      <w:pPr>
        <w:numPr>
          <w:ilvl w:val="0"/>
          <w:numId w:val="17"/>
        </w:numPr>
        <w:spacing w:line="360" w:lineRule="auto"/>
        <w:jc w:val="both"/>
        <w:rPr>
          <w:rFonts w:ascii="Aptos" w:hAnsi="Aptos" w:cs="Times New Roman"/>
        </w:rPr>
      </w:pPr>
      <w:r w:rsidRPr="006A428E">
        <w:rPr>
          <w:rFonts w:ascii="Aptos" w:hAnsi="Aptos" w:cs="Times New Roman"/>
        </w:rPr>
        <w:t>Gravamen prohibido y exenciones: iglesias; entidades con plazas de mercado, vías, parques y zonas hídricas; ESE Hospital, Policía, Ejército, hogar juvenil campesino y JAC; descuento del 50 % para entidades culturales sin ánimo de lucro.</w:t>
      </w:r>
    </w:p>
    <w:p w14:paraId="7CA37C97" w14:textId="77777777" w:rsidR="006A428E" w:rsidRPr="006A428E" w:rsidRDefault="006A428E" w:rsidP="006A428E">
      <w:pPr>
        <w:numPr>
          <w:ilvl w:val="0"/>
          <w:numId w:val="17"/>
        </w:numPr>
        <w:spacing w:line="360" w:lineRule="auto"/>
        <w:jc w:val="both"/>
        <w:rPr>
          <w:rFonts w:ascii="Aptos" w:hAnsi="Aptos" w:cs="Times New Roman"/>
        </w:rPr>
      </w:pPr>
      <w:r w:rsidRPr="006A428E">
        <w:rPr>
          <w:rFonts w:ascii="Aptos" w:hAnsi="Aptos" w:cs="Times New Roman"/>
        </w:rPr>
        <w:t>Ausencia de sobretasa de alumbrado público del 1‰ sobre avalúo.</w:t>
      </w:r>
    </w:p>
    <w:p w14:paraId="26EFA857" w14:textId="77777777" w:rsidR="006A428E" w:rsidRPr="006A428E" w:rsidRDefault="006A428E" w:rsidP="006A428E">
      <w:pPr>
        <w:numPr>
          <w:ilvl w:val="0"/>
          <w:numId w:val="17"/>
        </w:numPr>
        <w:spacing w:line="360" w:lineRule="auto"/>
        <w:jc w:val="both"/>
        <w:rPr>
          <w:rFonts w:ascii="Aptos" w:hAnsi="Aptos" w:cs="Times New Roman"/>
        </w:rPr>
      </w:pPr>
      <w:r w:rsidRPr="006A428E">
        <w:rPr>
          <w:rFonts w:ascii="Aptos" w:hAnsi="Aptos" w:cs="Times New Roman"/>
        </w:rPr>
        <w:t>Sobretasa bomberil: 5 % de la base gravable del IPU (equivale al 5 % del avalúo catastral), con riesgo de incrementos significativos en escenarios de actualización o rezago.</w:t>
      </w:r>
    </w:p>
    <w:p w14:paraId="5319D245" w14:textId="77777777" w:rsidR="006A428E" w:rsidRPr="006A428E" w:rsidRDefault="006A428E" w:rsidP="006A428E">
      <w:pPr>
        <w:numPr>
          <w:ilvl w:val="0"/>
          <w:numId w:val="17"/>
        </w:numPr>
        <w:spacing w:line="360" w:lineRule="auto"/>
        <w:jc w:val="both"/>
        <w:rPr>
          <w:rFonts w:ascii="Aptos" w:hAnsi="Aptos" w:cs="Times New Roman"/>
        </w:rPr>
      </w:pPr>
      <w:r w:rsidRPr="006A428E">
        <w:rPr>
          <w:rFonts w:ascii="Aptos" w:hAnsi="Aptos" w:cs="Times New Roman"/>
        </w:rPr>
        <w:t>Beneficios tributarios del 50 % para inmuebles que se usen para la conservación de especies nativas y exóticas.</w:t>
      </w:r>
    </w:p>
    <w:p w14:paraId="20A4718B" w14:textId="77777777" w:rsidR="006A428E" w:rsidRPr="006A428E" w:rsidRDefault="006A428E" w:rsidP="006A428E">
      <w:pPr>
        <w:spacing w:line="360" w:lineRule="auto"/>
        <w:jc w:val="both"/>
        <w:rPr>
          <w:rFonts w:ascii="Aptos" w:hAnsi="Aptos" w:cs="Times New Roman"/>
          <w:b/>
          <w:bCs/>
          <w:sz w:val="32"/>
          <w:szCs w:val="32"/>
        </w:rPr>
      </w:pPr>
      <w:r w:rsidRPr="006A428E">
        <w:rPr>
          <w:rFonts w:ascii="Aptos" w:hAnsi="Aptos" w:cs="Times New Roman"/>
          <w:b/>
          <w:bCs/>
          <w:sz w:val="32"/>
          <w:szCs w:val="32"/>
        </w:rPr>
        <w:lastRenderedPageBreak/>
        <w:t>Recomendaciones</w:t>
      </w:r>
    </w:p>
    <w:p w14:paraId="5FA4981E" w14:textId="77777777" w:rsidR="006A428E" w:rsidRPr="006A428E" w:rsidRDefault="006A428E" w:rsidP="006A428E">
      <w:pPr>
        <w:numPr>
          <w:ilvl w:val="0"/>
          <w:numId w:val="18"/>
        </w:numPr>
        <w:spacing w:line="360" w:lineRule="auto"/>
        <w:jc w:val="both"/>
        <w:rPr>
          <w:rFonts w:ascii="Aptos" w:hAnsi="Aptos" w:cs="Times New Roman"/>
        </w:rPr>
      </w:pPr>
      <w:r w:rsidRPr="006A428E">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257BC024" w14:textId="77777777" w:rsidR="006A428E" w:rsidRPr="006A428E" w:rsidRDefault="006A428E" w:rsidP="006A428E">
      <w:pPr>
        <w:numPr>
          <w:ilvl w:val="0"/>
          <w:numId w:val="18"/>
        </w:numPr>
        <w:spacing w:line="360" w:lineRule="auto"/>
        <w:jc w:val="both"/>
        <w:rPr>
          <w:rFonts w:ascii="Aptos" w:hAnsi="Aptos" w:cs="Times New Roman"/>
        </w:rPr>
      </w:pPr>
      <w:r w:rsidRPr="006A428E">
        <w:rPr>
          <w:rFonts w:ascii="Aptos" w:hAnsi="Aptos" w:cs="Times New Roman"/>
        </w:rPr>
        <w:t>Ajustar el procedimiento de notificación de la determinación oficial a las formas especiales (página web y cartelera), eliminando el uso de correo electrónico, para asegurar validez y exigibilidad.</w:t>
      </w:r>
    </w:p>
    <w:p w14:paraId="412E737A" w14:textId="1C849603" w:rsidR="00707E60" w:rsidRPr="006A428E" w:rsidRDefault="006A428E" w:rsidP="006A428E">
      <w:pPr>
        <w:numPr>
          <w:ilvl w:val="0"/>
          <w:numId w:val="18"/>
        </w:numPr>
        <w:spacing w:line="360" w:lineRule="auto"/>
        <w:jc w:val="both"/>
        <w:rPr>
          <w:rFonts w:ascii="Aptos" w:hAnsi="Aptos" w:cs="Times New Roman"/>
        </w:rPr>
      </w:pPr>
      <w:r w:rsidRPr="006A428E">
        <w:rPr>
          <w:rFonts w:ascii="Aptos" w:hAnsi="Aptos" w:cs="Times New Roman"/>
        </w:rPr>
        <w:t>Revisar la sobretasa bomberil (5 % del avalúo) por su potencial efecto multiplicador en actualizaciones/rezago, e incorporar límites/gradualidad que mitiguen variaciones desproporcionadas (sin modificar el hecho generador ni la base si no lo dispone el acuerdo).</w:t>
      </w:r>
    </w:p>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5A4A7" w14:textId="77777777" w:rsidR="003E2F94" w:rsidRDefault="003E2F94" w:rsidP="00707E60">
      <w:pPr>
        <w:spacing w:after="0" w:line="240" w:lineRule="auto"/>
      </w:pPr>
      <w:r>
        <w:separator/>
      </w:r>
    </w:p>
  </w:endnote>
  <w:endnote w:type="continuationSeparator" w:id="0">
    <w:p w14:paraId="366FC4DF" w14:textId="77777777" w:rsidR="003E2F94" w:rsidRDefault="003E2F94"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411F4" w14:textId="77777777" w:rsidR="003E2F94" w:rsidRDefault="003E2F94" w:rsidP="00707E60">
      <w:pPr>
        <w:spacing w:after="0" w:line="240" w:lineRule="auto"/>
      </w:pPr>
      <w:r>
        <w:separator/>
      </w:r>
    </w:p>
  </w:footnote>
  <w:footnote w:type="continuationSeparator" w:id="0">
    <w:p w14:paraId="64F1C321" w14:textId="77777777" w:rsidR="003E2F94" w:rsidRDefault="003E2F94"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3DC7F86B"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6A428E">
                            <w:rPr>
                              <w:color w:val="000000" w:themeColor="text1"/>
                              <w:sz w:val="28"/>
                              <w:szCs w:val="28"/>
                            </w:rPr>
                            <w:t>La Unión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3DC7F86B"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6A428E">
                      <w:rPr>
                        <w:color w:val="000000" w:themeColor="text1"/>
                        <w:sz w:val="28"/>
                        <w:szCs w:val="28"/>
                      </w:rPr>
                      <w:t>La Unión</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5"/>
  </w:num>
  <w:num w:numId="2" w16cid:durableId="1017347282">
    <w:abstractNumId w:val="9"/>
  </w:num>
  <w:num w:numId="3" w16cid:durableId="44450645">
    <w:abstractNumId w:val="14"/>
  </w:num>
  <w:num w:numId="4" w16cid:durableId="1953855267">
    <w:abstractNumId w:val="0"/>
  </w:num>
  <w:num w:numId="5" w16cid:durableId="279457733">
    <w:abstractNumId w:val="6"/>
  </w:num>
  <w:num w:numId="6" w16cid:durableId="829055416">
    <w:abstractNumId w:val="1"/>
  </w:num>
  <w:num w:numId="7" w16cid:durableId="1974747392">
    <w:abstractNumId w:val="4"/>
  </w:num>
  <w:num w:numId="8" w16cid:durableId="1342120387">
    <w:abstractNumId w:val="12"/>
  </w:num>
  <w:num w:numId="9" w16cid:durableId="350257001">
    <w:abstractNumId w:val="3"/>
  </w:num>
  <w:num w:numId="10" w16cid:durableId="1078140204">
    <w:abstractNumId w:val="7"/>
  </w:num>
  <w:num w:numId="11" w16cid:durableId="1792938771">
    <w:abstractNumId w:val="8"/>
  </w:num>
  <w:num w:numId="12" w16cid:durableId="1526560268">
    <w:abstractNumId w:val="15"/>
  </w:num>
  <w:num w:numId="13" w16cid:durableId="684139451">
    <w:abstractNumId w:val="16"/>
  </w:num>
  <w:num w:numId="14" w16cid:durableId="2066485375">
    <w:abstractNumId w:val="17"/>
  </w:num>
  <w:num w:numId="15" w16cid:durableId="1048799774">
    <w:abstractNumId w:val="2"/>
  </w:num>
  <w:num w:numId="16" w16cid:durableId="763765178">
    <w:abstractNumId w:val="10"/>
  </w:num>
  <w:num w:numId="17" w16cid:durableId="312298011">
    <w:abstractNumId w:val="13"/>
  </w:num>
  <w:num w:numId="18" w16cid:durableId="17204699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1580C"/>
    <w:rsid w:val="003650D0"/>
    <w:rsid w:val="003A7CEA"/>
    <w:rsid w:val="003E2241"/>
    <w:rsid w:val="003E2F94"/>
    <w:rsid w:val="004107CA"/>
    <w:rsid w:val="005422DF"/>
    <w:rsid w:val="005C3FCA"/>
    <w:rsid w:val="005D08ED"/>
    <w:rsid w:val="005F7A75"/>
    <w:rsid w:val="00605B4C"/>
    <w:rsid w:val="00665846"/>
    <w:rsid w:val="006A249B"/>
    <w:rsid w:val="006A428E"/>
    <w:rsid w:val="00701CC9"/>
    <w:rsid w:val="00707E60"/>
    <w:rsid w:val="00723620"/>
    <w:rsid w:val="00813F67"/>
    <w:rsid w:val="00844CC8"/>
    <w:rsid w:val="00845F02"/>
    <w:rsid w:val="00855468"/>
    <w:rsid w:val="009D1788"/>
    <w:rsid w:val="009D1F9E"/>
    <w:rsid w:val="00A27409"/>
    <w:rsid w:val="00A53B01"/>
    <w:rsid w:val="00A55C9A"/>
    <w:rsid w:val="00A60686"/>
    <w:rsid w:val="00A96461"/>
    <w:rsid w:val="00AA7DD4"/>
    <w:rsid w:val="00B9278F"/>
    <w:rsid w:val="00B9597A"/>
    <w:rsid w:val="00BC7035"/>
    <w:rsid w:val="00BE3801"/>
    <w:rsid w:val="00C04706"/>
    <w:rsid w:val="00C24423"/>
    <w:rsid w:val="00C3440A"/>
    <w:rsid w:val="00C4509C"/>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11</cp:revision>
  <dcterms:created xsi:type="dcterms:W3CDTF">2025-10-23T17:12:00Z</dcterms:created>
  <dcterms:modified xsi:type="dcterms:W3CDTF">2025-10-24T17:52:00Z</dcterms:modified>
</cp:coreProperties>
</file>