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6FD59286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A566B6">
        <w:rPr>
          <w:color w:val="000000" w:themeColor="text1"/>
          <w:sz w:val="44"/>
          <w:szCs w:val="44"/>
        </w:rPr>
        <w:t>Nechí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6CF1C23E" w14:textId="77777777" w:rsidR="000A76FA" w:rsidRPr="000A76FA" w:rsidRDefault="000A76FA" w:rsidP="000A76FA">
      <w:p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lastRenderedPageBreak/>
        <w:t>El estado actual de su normatividad tributaria se establece en el Acuerdo 06 de 2021.</w:t>
      </w:r>
    </w:p>
    <w:p w14:paraId="11B5C2C8" w14:textId="77777777" w:rsidR="000A76FA" w:rsidRPr="000A76FA" w:rsidRDefault="000A76FA" w:rsidP="000A76FA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0A76FA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04FE28AF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256B73A1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La matriz tarifaria está construida en SMMLV 2021 con equivalencias a UVT 2021 y pesos, diferenciando predios rurales/urbanos y varias actividades; esta triple referencia está desactualizada y dificulta la liquidación, incrementa riesgo de error y de controversia por conversiones y redondeos.</w:t>
      </w:r>
    </w:p>
    <w:p w14:paraId="263FA7DB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Se prevé compensación del IPU por áreas de retiro vial; requiere trazabilidad técnica de las franjas y regla de proporcionalidad para no exceder el beneficio.</w:t>
      </w:r>
    </w:p>
    <w:p w14:paraId="73173128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Existe supuesto de “no liquidación” cuando hay entrega anticipada de predios para utilidad pública, condicionado a paz y salvo; se necesita definir prueba y alcance para áreas parciales.</w:t>
      </w:r>
    </w:p>
    <w:p w14:paraId="5BC5B900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Catálogo de bienes excluidos y de prohibido gravamen enfocado en bienes de uso público, misiones diplomáticas, patrimonio cultural y entidades de socorro; no se identifican exclusiones ambientales específicas en este acápite.</w:t>
      </w:r>
    </w:p>
    <w:p w14:paraId="4B571D60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Existen exenciones por 10 años, entre ellas de carácter ambiental: inmuebles de corporaciones autónomas destinados a conservación (hoyas, laderas, escarpas, conducción de aguas, embalses, colectores, tanques y PTAR) y todas las áreas de conservación de aguas, fauna y flora reglamentadas por el Concejo previa certificación; coexisten otras exenciones (p. ej., centro de bienestar del anciano, JAC, ESE/comerciales del Estado, ICBF).</w:t>
      </w:r>
    </w:p>
    <w:p w14:paraId="680EC6B0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La determinación oficial por factura está prevista con mérito ejecutivo, pero subordinada a reglamentación del alcalde; si el contenido mínimo y la notificación no se ajustan a la forma legal, se arriesga la ejecutividad.</w:t>
      </w:r>
    </w:p>
    <w:p w14:paraId="19E92D79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lastRenderedPageBreak/>
        <w:t>El pago se estructura en cuatro cuotas trimestrales; el esquema requiere sincronizar calendario y facturación para evitar mora automática.</w:t>
      </w:r>
    </w:p>
    <w:p w14:paraId="21824523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Los límites al IPU se encuentran atados a reglas de la ley 1995 del 2019 y ley 44 del 90.No incorpora reglas o mecanismos para proceso de actualización/rezago; esto puede generar incrementos abruptos o tratamientos inequitativos entre contribuyentes.</w:t>
      </w:r>
    </w:p>
    <w:p w14:paraId="1DA322D0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Se fija un “porcentaje ambiental” del 15 % sobre el recaudo del IPU con destino a la CAR y se aclara que no incrementa las tarifas del impuesto.</w:t>
      </w:r>
    </w:p>
    <w:p w14:paraId="167B49E6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Tratamiento especial ambiental: descuento proporcional del IPU en función del porcentaje de área protegida (p. ej., 50 % de descuento si el 100 % del predio está protegido; 20 % si el 40 % está protegido; 40 % si el 80 % está protegido), sujeto a certificación de CORANTIOQUIA y compromisos de conservación.</w:t>
      </w:r>
    </w:p>
    <w:p w14:paraId="12CEC936" w14:textId="77777777" w:rsidR="000A76FA" w:rsidRPr="000A76FA" w:rsidRDefault="000A76FA" w:rsidP="000A76FA">
      <w:pPr>
        <w:numPr>
          <w:ilvl w:val="0"/>
          <w:numId w:val="23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Beneficios/exenciones/prohibiciones con enfoque ambiental y uso del suelo : presentes en las exenciones mencionadas (conservación por corporaciones autónomas y áreas de conservación reglamentadas).</w:t>
      </w:r>
    </w:p>
    <w:p w14:paraId="2209C920" w14:textId="77777777" w:rsidR="000A76FA" w:rsidRPr="000A76FA" w:rsidRDefault="000A76FA" w:rsidP="000A76FA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0A76FA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6C75A66A" w14:textId="77777777" w:rsidR="000A76FA" w:rsidRPr="000A76FA" w:rsidRDefault="000A76FA" w:rsidP="000A76FA">
      <w:pPr>
        <w:numPr>
          <w:ilvl w:val="0"/>
          <w:numId w:val="24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787E2FE2" w14:textId="77777777" w:rsidR="000A76FA" w:rsidRPr="000A76FA" w:rsidRDefault="000A76FA" w:rsidP="000A76FA">
      <w:pPr>
        <w:numPr>
          <w:ilvl w:val="0"/>
          <w:numId w:val="24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Sustituir la matriz de milajes basada en SMMLV/UVT/pesos 2021 por una sola unidad de referencia vigente (recomendable UVT o SMMLV), eliminando equivalencias fijas en pesos; parametrizar rangos y milajes por destinación económica y zona, con reglas claras de actualización anual automática.</w:t>
      </w:r>
    </w:p>
    <w:p w14:paraId="1BFFE937" w14:textId="77777777" w:rsidR="000A76FA" w:rsidRPr="000A76FA" w:rsidRDefault="000A76FA" w:rsidP="000A76FA">
      <w:pPr>
        <w:numPr>
          <w:ilvl w:val="0"/>
          <w:numId w:val="24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Establecer límites para adoptar un esquema de transición y gradualidad que module incrementos anuales por procesos de actualización/rezago hasta converger a tarifa plena, articulado con límites diferenciales y exclusiones típicas; incorporar salvaguardas para que las sobretasas ligadas al IPU no desborden el tope.</w:t>
      </w:r>
    </w:p>
    <w:p w14:paraId="43A29D0D" w14:textId="77777777" w:rsidR="000A76FA" w:rsidRPr="000A76FA" w:rsidRDefault="000A76FA" w:rsidP="000A76FA">
      <w:pPr>
        <w:numPr>
          <w:ilvl w:val="0"/>
          <w:numId w:val="24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 xml:space="preserve">Precisar en el estatuto el contenido mínimo de la factura como acto de determinación (identificación del predio, base, tarifa, liquidación, fundamento, recursos) y el </w:t>
      </w:r>
      <w:r w:rsidRPr="000A76FA">
        <w:rPr>
          <w:rFonts w:ascii="Aptos" w:hAnsi="Aptos" w:cs="Times New Roman"/>
        </w:rPr>
        <w:lastRenderedPageBreak/>
        <w:t>procedimiento de notificación (publicación en web/cartelera y mecanismos complementarios), para sustentar el mérito ejecutivo sin depender exclusivamente de una reglamentación posterior.</w:t>
      </w:r>
    </w:p>
    <w:p w14:paraId="506FCCCB" w14:textId="77777777" w:rsidR="000A76FA" w:rsidRPr="000A76FA" w:rsidRDefault="000A76FA" w:rsidP="000A76FA">
      <w:pPr>
        <w:numPr>
          <w:ilvl w:val="0"/>
          <w:numId w:val="24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En compensación por áreas de retiro y “no liquidación” por utilidad pública, exigir soporte cartográfico y técnico, proporcionalidad frente al área afectada y verificación de paz y salvo; definir incompatibilidades y prelación frente a otros alivios.</w:t>
      </w:r>
    </w:p>
    <w:p w14:paraId="6C10761D" w14:textId="77777777" w:rsidR="000A76FA" w:rsidRPr="000A76FA" w:rsidRDefault="000A76FA" w:rsidP="000A76FA">
      <w:pPr>
        <w:numPr>
          <w:ilvl w:val="0"/>
          <w:numId w:val="24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Ordenar el catálogo de bienes excluidos/prohibido gravamen con criterios uniformes (uso público, diplomático, socorro, patrimonio), exigir pruebas habilitantes (registro de entidades religiosas, certificaciones) y reglas de pérdida automática por cambio de uso.</w:t>
      </w:r>
    </w:p>
    <w:p w14:paraId="4E9025BA" w14:textId="77777777" w:rsidR="000A76FA" w:rsidRPr="000A76FA" w:rsidRDefault="000A76FA" w:rsidP="000A76FA">
      <w:pPr>
        <w:numPr>
          <w:ilvl w:val="0"/>
          <w:numId w:val="24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Para las exenciones no ambientales (JAC, ESE/comerciales del Estado, centro de bienestar del anciano, ICBF), fijar requisitos objetivos, vigencia limitada, control de permanencia del uso y reporte del costo fiscal; evitar acumulación con otros beneficios salvo regla expresa.</w:t>
      </w:r>
    </w:p>
    <w:p w14:paraId="0B043FB1" w14:textId="77777777" w:rsidR="000A76FA" w:rsidRPr="000A76FA" w:rsidRDefault="000A76FA" w:rsidP="000A76FA">
      <w:pPr>
        <w:numPr>
          <w:ilvl w:val="0"/>
          <w:numId w:val="24"/>
        </w:numPr>
        <w:spacing w:line="360" w:lineRule="auto"/>
        <w:jc w:val="both"/>
        <w:rPr>
          <w:rFonts w:ascii="Aptos" w:hAnsi="Aptos" w:cs="Times New Roman"/>
        </w:rPr>
      </w:pPr>
      <w:r w:rsidRPr="000A76FA">
        <w:rPr>
          <w:rFonts w:ascii="Aptos" w:hAnsi="Aptos" w:cs="Times New Roman"/>
        </w:rPr>
        <w:t>Fortalecer el tratamiento especial ambiental: mantener la proporcionalidad por área protegida, exigir renovación periódica de certificaciones, delimitar cartográficamente las zonas, prever visitas de verificación, causal de pérdida y reposición del beneficio; establecer que el descuento opera solo sobre el impuesto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75D7" w14:textId="77777777" w:rsidR="00AE2D50" w:rsidRDefault="00AE2D50" w:rsidP="00707E60">
      <w:pPr>
        <w:spacing w:after="0" w:line="240" w:lineRule="auto"/>
      </w:pPr>
      <w:r>
        <w:separator/>
      </w:r>
    </w:p>
  </w:endnote>
  <w:endnote w:type="continuationSeparator" w:id="0">
    <w:p w14:paraId="4A0AA115" w14:textId="77777777" w:rsidR="00AE2D50" w:rsidRDefault="00AE2D50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C6729" w14:textId="77777777" w:rsidR="00AE2D50" w:rsidRDefault="00AE2D50" w:rsidP="00707E60">
      <w:pPr>
        <w:spacing w:after="0" w:line="240" w:lineRule="auto"/>
      </w:pPr>
      <w:r>
        <w:separator/>
      </w:r>
    </w:p>
  </w:footnote>
  <w:footnote w:type="continuationSeparator" w:id="0">
    <w:p w14:paraId="514958B6" w14:textId="77777777" w:rsidR="00AE2D50" w:rsidRDefault="00AE2D50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3E62574C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A566B6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Nechí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3E62574C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A566B6">
                      <w:rPr>
                        <w:color w:val="000000" w:themeColor="text1"/>
                        <w:sz w:val="28"/>
                        <w:szCs w:val="28"/>
                      </w:rPr>
                      <w:t>Nechí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9"/>
  </w:num>
  <w:num w:numId="2" w16cid:durableId="1017347282">
    <w:abstractNumId w:val="15"/>
  </w:num>
  <w:num w:numId="3" w16cid:durableId="44450645">
    <w:abstractNumId w:val="18"/>
  </w:num>
  <w:num w:numId="4" w16cid:durableId="1953855267">
    <w:abstractNumId w:val="1"/>
  </w:num>
  <w:num w:numId="5" w16cid:durableId="1281302291">
    <w:abstractNumId w:val="6"/>
  </w:num>
  <w:num w:numId="6" w16cid:durableId="198319745">
    <w:abstractNumId w:val="17"/>
  </w:num>
  <w:num w:numId="7" w16cid:durableId="1222793921">
    <w:abstractNumId w:val="2"/>
  </w:num>
  <w:num w:numId="8" w16cid:durableId="1663466582">
    <w:abstractNumId w:val="19"/>
  </w:num>
  <w:num w:numId="9" w16cid:durableId="1601404175">
    <w:abstractNumId w:val="23"/>
  </w:num>
  <w:num w:numId="10" w16cid:durableId="1696037023">
    <w:abstractNumId w:val="21"/>
  </w:num>
  <w:num w:numId="11" w16cid:durableId="1726874531">
    <w:abstractNumId w:val="5"/>
  </w:num>
  <w:num w:numId="12" w16cid:durableId="1308511851">
    <w:abstractNumId w:val="12"/>
  </w:num>
  <w:num w:numId="13" w16cid:durableId="470710239">
    <w:abstractNumId w:val="8"/>
  </w:num>
  <w:num w:numId="14" w16cid:durableId="335232453">
    <w:abstractNumId w:val="0"/>
  </w:num>
  <w:num w:numId="15" w16cid:durableId="864756385">
    <w:abstractNumId w:val="20"/>
  </w:num>
  <w:num w:numId="16" w16cid:durableId="1808812370">
    <w:abstractNumId w:val="7"/>
  </w:num>
  <w:num w:numId="17" w16cid:durableId="230238942">
    <w:abstractNumId w:val="22"/>
  </w:num>
  <w:num w:numId="18" w16cid:durableId="1750955448">
    <w:abstractNumId w:val="13"/>
  </w:num>
  <w:num w:numId="19" w16cid:durableId="1620525228">
    <w:abstractNumId w:val="16"/>
  </w:num>
  <w:num w:numId="20" w16cid:durableId="1971281397">
    <w:abstractNumId w:val="14"/>
  </w:num>
  <w:num w:numId="21" w16cid:durableId="898437512">
    <w:abstractNumId w:val="10"/>
  </w:num>
  <w:num w:numId="22" w16cid:durableId="1857577869">
    <w:abstractNumId w:val="11"/>
  </w:num>
  <w:num w:numId="23" w16cid:durableId="2099017172">
    <w:abstractNumId w:val="3"/>
  </w:num>
  <w:num w:numId="24" w16cid:durableId="247349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087C16"/>
    <w:rsid w:val="000A76FA"/>
    <w:rsid w:val="000C2026"/>
    <w:rsid w:val="001105DF"/>
    <w:rsid w:val="00120797"/>
    <w:rsid w:val="00134527"/>
    <w:rsid w:val="0016665C"/>
    <w:rsid w:val="001B556D"/>
    <w:rsid w:val="00211E44"/>
    <w:rsid w:val="0023618C"/>
    <w:rsid w:val="00280F9A"/>
    <w:rsid w:val="002A4167"/>
    <w:rsid w:val="003650D0"/>
    <w:rsid w:val="003A7CEA"/>
    <w:rsid w:val="003E2241"/>
    <w:rsid w:val="004107CA"/>
    <w:rsid w:val="004671B7"/>
    <w:rsid w:val="005422DF"/>
    <w:rsid w:val="005B772A"/>
    <w:rsid w:val="005D08ED"/>
    <w:rsid w:val="005F7A75"/>
    <w:rsid w:val="00605B4C"/>
    <w:rsid w:val="00656CE7"/>
    <w:rsid w:val="00665846"/>
    <w:rsid w:val="006A249B"/>
    <w:rsid w:val="00707E60"/>
    <w:rsid w:val="00745C46"/>
    <w:rsid w:val="00813F67"/>
    <w:rsid w:val="00844CC8"/>
    <w:rsid w:val="00845F02"/>
    <w:rsid w:val="00852ADC"/>
    <w:rsid w:val="00855468"/>
    <w:rsid w:val="008A01C7"/>
    <w:rsid w:val="00944C88"/>
    <w:rsid w:val="0096088F"/>
    <w:rsid w:val="009D1F9E"/>
    <w:rsid w:val="00A27409"/>
    <w:rsid w:val="00A407A7"/>
    <w:rsid w:val="00A456B7"/>
    <w:rsid w:val="00A55C9A"/>
    <w:rsid w:val="00A566B6"/>
    <w:rsid w:val="00A60686"/>
    <w:rsid w:val="00A96461"/>
    <w:rsid w:val="00AA7DD4"/>
    <w:rsid w:val="00AE2D50"/>
    <w:rsid w:val="00BB442A"/>
    <w:rsid w:val="00BC7035"/>
    <w:rsid w:val="00C04706"/>
    <w:rsid w:val="00C25E4F"/>
    <w:rsid w:val="00C942B0"/>
    <w:rsid w:val="00D37EF2"/>
    <w:rsid w:val="00DB14E5"/>
    <w:rsid w:val="00DD0016"/>
    <w:rsid w:val="00E20840"/>
    <w:rsid w:val="00E608BE"/>
    <w:rsid w:val="00E733D1"/>
    <w:rsid w:val="00EF712C"/>
    <w:rsid w:val="00F244D0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20</cp:revision>
  <dcterms:created xsi:type="dcterms:W3CDTF">2025-10-23T17:12:00Z</dcterms:created>
  <dcterms:modified xsi:type="dcterms:W3CDTF">2025-11-04T16:14:00Z</dcterms:modified>
</cp:coreProperties>
</file>