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357D57A0"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757DD1">
        <w:rPr>
          <w:color w:val="000000" w:themeColor="text1"/>
          <w:sz w:val="44"/>
          <w:szCs w:val="44"/>
        </w:rPr>
        <w:t>Olaya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56519A9B" w14:textId="77777777" w:rsidR="00805336" w:rsidRPr="00805336" w:rsidRDefault="00805336" w:rsidP="00805336">
      <w:pPr>
        <w:spacing w:line="360" w:lineRule="auto"/>
        <w:jc w:val="both"/>
        <w:rPr>
          <w:rFonts w:ascii="Aptos" w:hAnsi="Aptos" w:cs="Times New Roman"/>
        </w:rPr>
      </w:pPr>
      <w:r w:rsidRPr="00805336">
        <w:rPr>
          <w:rFonts w:ascii="Aptos" w:hAnsi="Aptos" w:cs="Times New Roman"/>
        </w:rPr>
        <w:lastRenderedPageBreak/>
        <w:t>El estado actual de su normatividad tributaria se establece en el Acuerdo 018 de 2020.</w:t>
      </w:r>
    </w:p>
    <w:p w14:paraId="13A51EBA" w14:textId="77777777" w:rsidR="00805336" w:rsidRPr="00805336" w:rsidRDefault="00805336" w:rsidP="00805336">
      <w:pPr>
        <w:spacing w:line="360" w:lineRule="auto"/>
        <w:jc w:val="both"/>
        <w:rPr>
          <w:rFonts w:ascii="Aptos" w:hAnsi="Aptos" w:cs="Times New Roman"/>
          <w:b/>
          <w:bCs/>
          <w:sz w:val="32"/>
          <w:szCs w:val="32"/>
        </w:rPr>
      </w:pPr>
      <w:r w:rsidRPr="00805336">
        <w:rPr>
          <w:rFonts w:ascii="Aptos" w:hAnsi="Aptos" w:cs="Times New Roman"/>
          <w:b/>
          <w:bCs/>
          <w:sz w:val="32"/>
          <w:szCs w:val="32"/>
        </w:rPr>
        <w:t>Hallazgos</w:t>
      </w:r>
    </w:p>
    <w:p w14:paraId="4098870F"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6821AD9"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El IPU se estructura desde el artículo 15 (autorización legal, definición, base gravable, hecho generador, sujeto activo y sujeto pasivo).</w:t>
      </w:r>
    </w:p>
    <w:p w14:paraId="384CCCDA"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Matriz tarifaria por destinos económicos con “tarifas planas” por destino (sin diferenciación intra-destino ni progresividad); no hay escalonamiento interno por rangos dentro del mismo destino.</w:t>
      </w:r>
    </w:p>
    <w:p w14:paraId="755B8EC0"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Límites del impuesto: se acoge el de la Ley 44 de 1990; no se observa adopción del régimen de la Ley 1995 de 2019 ni reglas para rezago catastral.</w:t>
      </w:r>
    </w:p>
    <w:p w14:paraId="5480477F"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Descuentos por pago total anticipado entre 5 % y 15 % según calendario; pago en cuatro cuotas trimestrales.</w:t>
      </w:r>
    </w:p>
    <w:p w14:paraId="5843B49E"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 xml:space="preserve">Beneficios con enfoque ambiental/uso del suelo: Se mezclan categorías de prohibición de gravamen, exenciones y exclusiones aplicadas a conservación de aguas, embalses, colectores y plantas de tratamiento, así como a zonas o figuras ambientales afines, sin delimitar requisitos, autoridad certificadora, vigencia ni prelación frente a otros alivios. </w:t>
      </w:r>
    </w:p>
    <w:p w14:paraId="3874F74D"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Sobretasa bomberil fijada sobre el avalúo catastral en 0,5×1000, sin reglas de contención frente a incrementos de avalúo por actualización o mantenimiento.</w:t>
      </w:r>
    </w:p>
    <w:p w14:paraId="7A402002"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Porcentaje ambiental del 15 % sobre el recaudo total del IPU; exoneración para zonas de reserva y microcuencas urbanas y rurales, con necesidad de inventario y estimación de costo fiscal de dichas exenciones.</w:t>
      </w:r>
    </w:p>
    <w:p w14:paraId="0918E12B" w14:textId="77777777" w:rsidR="00805336" w:rsidRPr="00805336" w:rsidRDefault="00805336" w:rsidP="00805336">
      <w:pPr>
        <w:numPr>
          <w:ilvl w:val="0"/>
          <w:numId w:val="25"/>
        </w:numPr>
        <w:spacing w:line="360" w:lineRule="auto"/>
        <w:jc w:val="both"/>
        <w:rPr>
          <w:rFonts w:ascii="Aptos" w:hAnsi="Aptos" w:cs="Times New Roman"/>
        </w:rPr>
      </w:pPr>
      <w:r w:rsidRPr="00805336">
        <w:rPr>
          <w:rFonts w:ascii="Aptos" w:hAnsi="Aptos" w:cs="Times New Roman"/>
        </w:rPr>
        <w:t xml:space="preserve">Se confunden prohibiciones, exenciones, exclusiones y “tratamientos especiales” (p. ej., tarifa 6×1.000 hasta 10 años) respecto de bienes municipales, bienes de uso público, </w:t>
      </w:r>
      <w:r w:rsidRPr="00805336">
        <w:rPr>
          <w:rFonts w:ascii="Aptos" w:hAnsi="Aptos" w:cs="Times New Roman"/>
        </w:rPr>
        <w:lastRenderedPageBreak/>
        <w:t>cementerios, iglesias y otras confesiones, Defensa Civil, Cruz Roja, bomberos, albergues de ancianos y juntas de acción comunal; incluso se otorgan tratamientos preferentes a sujetos que en otros apartados figuran como exentos, generando solapamientos y criterios contradictorios.</w:t>
      </w:r>
    </w:p>
    <w:p w14:paraId="1A82EC71" w14:textId="77777777" w:rsidR="00805336" w:rsidRPr="00805336" w:rsidRDefault="00805336" w:rsidP="00805336">
      <w:pPr>
        <w:spacing w:line="360" w:lineRule="auto"/>
        <w:jc w:val="both"/>
        <w:rPr>
          <w:rFonts w:ascii="Aptos" w:hAnsi="Aptos" w:cs="Times New Roman"/>
          <w:b/>
          <w:bCs/>
          <w:sz w:val="32"/>
          <w:szCs w:val="32"/>
        </w:rPr>
      </w:pPr>
      <w:r w:rsidRPr="00805336">
        <w:rPr>
          <w:rFonts w:ascii="Aptos" w:hAnsi="Aptos" w:cs="Times New Roman"/>
          <w:b/>
          <w:bCs/>
          <w:sz w:val="32"/>
          <w:szCs w:val="32"/>
        </w:rPr>
        <w:t>Recomendaciones</w:t>
      </w:r>
    </w:p>
    <w:p w14:paraId="2BB558E9"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67209C6A"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t>Revisar la matriz para sustituir o justificar técnicamente las “tarifas planas” por destino; introducir progresividad intra-destino por rangos de avalúo cuando corresponda, con nota operativa clara sobre prelación y aplicación.</w:t>
      </w:r>
    </w:p>
    <w:p w14:paraId="691D6A11"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t>Incorporar de forma expresa el régimen de límites de la Ley 1995 de 2019 (IPC+8 p. p. para actualizados; 50 % para no actualizados) y el límite del 25 % por modificación de tarifas; crear reglas de rezago catastral con metodología de transición y ejemplos de aplicación anual.</w:t>
      </w:r>
    </w:p>
    <w:p w14:paraId="287B0D08"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t>Unificar y depurar el régimen de “prohibido gravamen”, exenciones, exclusiones y tratamientos especiales en un solo protocolo: definir categorías, requisitos documentales, autoridad verificadora, vigencia/renovación, causales de pérdida y no concurrencia de beneficios; revisar la coherencia de los tratamientos al 6×1000 frente a supuestos que en otros artículos se declaran exentos.</w:t>
      </w:r>
    </w:p>
    <w:p w14:paraId="13AFB33E"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t>Mantener los descuentos por pronto pago/anticipo con calendario único y ficha técnica de impacto fiscal; verificar que su diseño no induzca interpretaciones contables que distorsionen el seguimiento de ingresos.</w:t>
      </w:r>
    </w:p>
    <w:p w14:paraId="567C0200"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t>Ajustar la sobretasa bomberil: si se mantiene sobre avalúo, incorporar reglas de contención y gradualidad frente a variaciones por actualización; alternativamente, migrar a un esquema porcentual sobre el IPU liquidado con controles de conciliación contra facturación y giros.</w:t>
      </w:r>
    </w:p>
    <w:p w14:paraId="6E65A7D8" w14:textId="77777777" w:rsidR="00805336" w:rsidRPr="00805336" w:rsidRDefault="00805336" w:rsidP="00805336">
      <w:pPr>
        <w:numPr>
          <w:ilvl w:val="0"/>
          <w:numId w:val="26"/>
        </w:numPr>
        <w:spacing w:line="360" w:lineRule="auto"/>
        <w:jc w:val="both"/>
        <w:rPr>
          <w:rFonts w:ascii="Aptos" w:hAnsi="Aptos" w:cs="Times New Roman"/>
        </w:rPr>
      </w:pPr>
      <w:r w:rsidRPr="00805336">
        <w:rPr>
          <w:rFonts w:ascii="Aptos" w:hAnsi="Aptos" w:cs="Times New Roman"/>
        </w:rPr>
        <w:lastRenderedPageBreak/>
        <w:t>Consolidar el inventario oficial de zonas de reserva y microcuencas con certificación de la autoridad competente; cuantificar el costo fiscal de las exenciones ambientales y fijar procedimiento de verificación, cómputo de área beneficiada y renovación periódica para garantizar trazabilidad y aplicación uniforme.</w:t>
      </w: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6276" w14:textId="77777777" w:rsidR="0075330F" w:rsidRDefault="0075330F" w:rsidP="00707E60">
      <w:pPr>
        <w:spacing w:after="0" w:line="240" w:lineRule="auto"/>
      </w:pPr>
      <w:r>
        <w:separator/>
      </w:r>
    </w:p>
  </w:endnote>
  <w:endnote w:type="continuationSeparator" w:id="0">
    <w:p w14:paraId="5E0B2D4F" w14:textId="77777777" w:rsidR="0075330F" w:rsidRDefault="0075330F"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EndPr>
      <w:rPr>
        <w:rStyle w:val="PageNumber"/>
      </w:rPr>
    </w:sdtEnd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EndPr>
      <w:rPr>
        <w:rStyle w:val="PageNumber"/>
      </w:rPr>
    </w:sdtEnd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F9F3" w14:textId="77777777" w:rsidR="0075330F" w:rsidRDefault="0075330F" w:rsidP="00707E60">
      <w:pPr>
        <w:spacing w:after="0" w:line="240" w:lineRule="auto"/>
      </w:pPr>
      <w:r>
        <w:separator/>
      </w:r>
    </w:p>
  </w:footnote>
  <w:footnote w:type="continuationSeparator" w:id="0">
    <w:p w14:paraId="06E08E05" w14:textId="77777777" w:rsidR="0075330F" w:rsidRDefault="0075330F"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0CD051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757DD1">
                            <w:rPr>
                              <w:color w:val="000000" w:themeColor="text1"/>
                              <w:sz w:val="28"/>
                              <w:szCs w:val="28"/>
                            </w:rPr>
                            <w:t>Olaya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50CD051A"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757DD1">
                      <w:rPr>
                        <w:color w:val="000000" w:themeColor="text1"/>
                        <w:sz w:val="28"/>
                        <w:szCs w:val="28"/>
                      </w:rPr>
                      <w:t>Olaya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463"/>
    <w:multiLevelType w:val="multilevel"/>
    <w:tmpl w:val="D8A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8C3AA5"/>
    <w:multiLevelType w:val="multilevel"/>
    <w:tmpl w:val="032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8"/>
  </w:num>
  <w:num w:numId="2" w16cid:durableId="1017347282">
    <w:abstractNumId w:val="13"/>
  </w:num>
  <w:num w:numId="3" w16cid:durableId="44450645">
    <w:abstractNumId w:val="20"/>
  </w:num>
  <w:num w:numId="4" w16cid:durableId="1953855267">
    <w:abstractNumId w:val="1"/>
  </w:num>
  <w:num w:numId="5" w16cid:durableId="279457733">
    <w:abstractNumId w:val="9"/>
  </w:num>
  <w:num w:numId="6" w16cid:durableId="829055416">
    <w:abstractNumId w:val="2"/>
  </w:num>
  <w:num w:numId="7" w16cid:durableId="1974747392">
    <w:abstractNumId w:val="5"/>
  </w:num>
  <w:num w:numId="8" w16cid:durableId="1342120387">
    <w:abstractNumId w:val="16"/>
  </w:num>
  <w:num w:numId="9" w16cid:durableId="350257001">
    <w:abstractNumId w:val="4"/>
  </w:num>
  <w:num w:numId="10" w16cid:durableId="1078140204">
    <w:abstractNumId w:val="10"/>
  </w:num>
  <w:num w:numId="11" w16cid:durableId="1792938771">
    <w:abstractNumId w:val="11"/>
  </w:num>
  <w:num w:numId="12" w16cid:durableId="1526560268">
    <w:abstractNumId w:val="23"/>
  </w:num>
  <w:num w:numId="13" w16cid:durableId="684139451">
    <w:abstractNumId w:val="24"/>
  </w:num>
  <w:num w:numId="14" w16cid:durableId="2066485375">
    <w:abstractNumId w:val="25"/>
  </w:num>
  <w:num w:numId="15" w16cid:durableId="1048799774">
    <w:abstractNumId w:val="3"/>
  </w:num>
  <w:num w:numId="16" w16cid:durableId="763765178">
    <w:abstractNumId w:val="14"/>
  </w:num>
  <w:num w:numId="17" w16cid:durableId="312298011">
    <w:abstractNumId w:val="19"/>
  </w:num>
  <w:num w:numId="18" w16cid:durableId="1720469911">
    <w:abstractNumId w:val="15"/>
  </w:num>
  <w:num w:numId="19" w16cid:durableId="435371494">
    <w:abstractNumId w:val="17"/>
  </w:num>
  <w:num w:numId="20" w16cid:durableId="295719448">
    <w:abstractNumId w:val="18"/>
  </w:num>
  <w:num w:numId="21" w16cid:durableId="1577745992">
    <w:abstractNumId w:val="12"/>
  </w:num>
  <w:num w:numId="22" w16cid:durableId="1267925568">
    <w:abstractNumId w:val="21"/>
  </w:num>
  <w:num w:numId="23" w16cid:durableId="1861967186">
    <w:abstractNumId w:val="6"/>
  </w:num>
  <w:num w:numId="24" w16cid:durableId="601374337">
    <w:abstractNumId w:val="22"/>
  </w:num>
  <w:num w:numId="25" w16cid:durableId="1426654042">
    <w:abstractNumId w:val="0"/>
  </w:num>
  <w:num w:numId="26" w16cid:durableId="475142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1736"/>
    <w:rsid w:val="0023618C"/>
    <w:rsid w:val="0031580C"/>
    <w:rsid w:val="003650D0"/>
    <w:rsid w:val="003A7CEA"/>
    <w:rsid w:val="003E2241"/>
    <w:rsid w:val="003E2F94"/>
    <w:rsid w:val="004107CA"/>
    <w:rsid w:val="005422DF"/>
    <w:rsid w:val="005C3FCA"/>
    <w:rsid w:val="005D08ED"/>
    <w:rsid w:val="005F7A75"/>
    <w:rsid w:val="00605B4C"/>
    <w:rsid w:val="006348C8"/>
    <w:rsid w:val="00665846"/>
    <w:rsid w:val="006A249B"/>
    <w:rsid w:val="006A428E"/>
    <w:rsid w:val="00701CC9"/>
    <w:rsid w:val="00707E60"/>
    <w:rsid w:val="00723620"/>
    <w:rsid w:val="0075330F"/>
    <w:rsid w:val="00757DD1"/>
    <w:rsid w:val="007C2E1E"/>
    <w:rsid w:val="007D1D7D"/>
    <w:rsid w:val="00805336"/>
    <w:rsid w:val="00813F67"/>
    <w:rsid w:val="00844CC8"/>
    <w:rsid w:val="00845F02"/>
    <w:rsid w:val="00855468"/>
    <w:rsid w:val="009D1788"/>
    <w:rsid w:val="009D1F9E"/>
    <w:rsid w:val="00A27409"/>
    <w:rsid w:val="00A53B01"/>
    <w:rsid w:val="00A55C9A"/>
    <w:rsid w:val="00A60686"/>
    <w:rsid w:val="00A96461"/>
    <w:rsid w:val="00AA7DD4"/>
    <w:rsid w:val="00B9278F"/>
    <w:rsid w:val="00B9597A"/>
    <w:rsid w:val="00BC7035"/>
    <w:rsid w:val="00BE3801"/>
    <w:rsid w:val="00C04706"/>
    <w:rsid w:val="00C24423"/>
    <w:rsid w:val="00C3440A"/>
    <w:rsid w:val="00C4509C"/>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686</Words>
  <Characters>3913</Characters>
  <Application>Microsoft Office Word</Application>
  <DocSecurity>0</DocSecurity>
  <Lines>32</Lines>
  <Paragraphs>9</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16</cp:revision>
  <dcterms:created xsi:type="dcterms:W3CDTF">2025-10-23T17:12:00Z</dcterms:created>
  <dcterms:modified xsi:type="dcterms:W3CDTF">2025-10-30T14:11:00Z</dcterms:modified>
</cp:coreProperties>
</file>