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1890F28C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E724EE">
        <w:rPr>
          <w:color w:val="000000" w:themeColor="text1"/>
          <w:sz w:val="44"/>
          <w:szCs w:val="44"/>
        </w:rPr>
        <w:t>Peque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710D807B" w14:textId="77777777" w:rsidR="00CD32DD" w:rsidRPr="00CD32DD" w:rsidRDefault="00CD32DD" w:rsidP="00CD32DD">
      <w:pPr>
        <w:spacing w:line="360" w:lineRule="auto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lastRenderedPageBreak/>
        <w:t>El estado actual de su normatividad tributaria se establece en el Acuerdo 16 de 2020.</w:t>
      </w:r>
    </w:p>
    <w:p w14:paraId="2E06EF69" w14:textId="77777777" w:rsidR="00CD32DD" w:rsidRPr="00CD32DD" w:rsidRDefault="00CD32DD" w:rsidP="00CD32DD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CD32DD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5B1B6B3B" w14:textId="77777777" w:rsidR="00CD32DD" w:rsidRPr="00CD32DD" w:rsidRDefault="00CD32DD" w:rsidP="00CD32DD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45ED9957" w14:textId="77777777" w:rsidR="00CD32DD" w:rsidRPr="00CD32DD" w:rsidRDefault="00CD32DD" w:rsidP="00CD32DD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>Referencias operativas a la Resolución 070 de 2011; falta incorporación de la Resolución 1040 de 2023 para procedimientos, definiciones y destinos económicos.</w:t>
      </w:r>
    </w:p>
    <w:p w14:paraId="47206F74" w14:textId="77777777" w:rsidR="00CD32DD" w:rsidRPr="00CD32DD" w:rsidRDefault="00CD32DD" w:rsidP="00CD32DD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>La matriz tarifaria fija bandas entre 5‰ y 16‰ y hasta 33‰ para lotes urbanizables no urbanizados y urbanizados no edificados, pero mantiene categorías con “tarifa 0” o trato de hecho preferencial sin encauzarlo por un régimen formal de beneficios con control de costo fiscal.</w:t>
      </w:r>
    </w:p>
    <w:p w14:paraId="42608E9B" w14:textId="77777777" w:rsidR="00CD32DD" w:rsidRPr="00CD32DD" w:rsidRDefault="00CD32DD" w:rsidP="00CD32DD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 xml:space="preserve">El municipio prevé en dos disposiciones distintas un valor mínimo anual a pagar: uno aplicable a predios con uso habitacional o agropecuario y otro para predios con uso distinto. Esta normativa, al fijar cobros mínimos independientes del avalúo, desnaturaliza el impuesto predial  y rompe la proporcionalidad avalúo – tarifa, generando cargas fijas </w:t>
      </w:r>
    </w:p>
    <w:p w14:paraId="0D4BA581" w14:textId="77777777" w:rsidR="00CD32DD" w:rsidRPr="00CD32DD" w:rsidRDefault="00CD32DD" w:rsidP="00CD32DD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>Se prevé que dependencias/accesorios (cuartos útiles y complementarios) sigan la tarifa del predio principal, sin criterios técnicos de vinculación catastral, unidad económica ni armonización con propiedad horizontal; riesgo de doble imposición o tratamiento inconsistente.</w:t>
      </w:r>
    </w:p>
    <w:p w14:paraId="2A190D7F" w14:textId="77777777" w:rsidR="00CD32DD" w:rsidRPr="00CD32DD" w:rsidRDefault="00CD32DD" w:rsidP="00CD32DD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>No se evidencia una determinación por factura con mérito ejecutivo ni un régimen de notificación plenamente diseñado (difusión previa, publicación en web/cartelera, eventual domicilio electrónico habilitado por acto administrativo, constancias y archivo probatorio).</w:t>
      </w:r>
    </w:p>
    <w:p w14:paraId="1E278D7E" w14:textId="77777777" w:rsidR="00CD32DD" w:rsidRPr="00CD32DD" w:rsidRDefault="00CD32DD" w:rsidP="00CD32DD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 xml:space="preserve">La compensación por obras de generación y transmisión de energía adopta fórmula con 150% sobre base/área y referencia a tarifa industrial, pero carece de metodología detallada </w:t>
      </w:r>
    </w:p>
    <w:p w14:paraId="6E6BD1C5" w14:textId="77777777" w:rsidR="00CD32DD" w:rsidRPr="00CD32DD" w:rsidRDefault="00CD32DD" w:rsidP="00CD32DD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 xml:space="preserve">Sobretasa ambiental del1,5‰ calculada sobre el avalúo que sirve de base al IPU. </w:t>
      </w:r>
    </w:p>
    <w:p w14:paraId="006C2E10" w14:textId="4860C9F5" w:rsidR="00CD32DD" w:rsidRPr="00CD32DD" w:rsidRDefault="00CD32DD" w:rsidP="00CD32DD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  <w:b/>
          <w:bCs/>
        </w:rPr>
      </w:pPr>
      <w:r w:rsidRPr="00CD32DD">
        <w:rPr>
          <w:rFonts w:ascii="Aptos" w:hAnsi="Aptos" w:cs="Times New Roman"/>
        </w:rPr>
        <w:t xml:space="preserve">no se evidencian exenciones ni prohibiciones específicamente reguladas para el IPU </w:t>
      </w:r>
    </w:p>
    <w:p w14:paraId="512FDC40" w14:textId="77777777" w:rsidR="00CD32DD" w:rsidRPr="00CD32DD" w:rsidRDefault="00CD32DD" w:rsidP="00CD32DD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CD32DD">
        <w:rPr>
          <w:rFonts w:ascii="Aptos" w:hAnsi="Aptos" w:cs="Times New Roman"/>
          <w:b/>
          <w:bCs/>
          <w:sz w:val="32"/>
          <w:szCs w:val="32"/>
        </w:rPr>
        <w:lastRenderedPageBreak/>
        <w:t>Recomendaciones</w:t>
      </w:r>
    </w:p>
    <w:p w14:paraId="3421652F" w14:textId="77777777" w:rsidR="00CD32DD" w:rsidRPr="00CD32DD" w:rsidRDefault="00CD32DD" w:rsidP="00CD32DD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00338A87" w14:textId="77777777" w:rsidR="00CD32DD" w:rsidRPr="00CD32DD" w:rsidRDefault="00CD32DD" w:rsidP="00CD32DD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>Adoptar formalmente la Resolución IGAC 1040 de 2023 como marco operativo vigente para catastro y destinaciones económicas</w:t>
      </w:r>
    </w:p>
    <w:p w14:paraId="54561756" w14:textId="77777777" w:rsidR="00CD32DD" w:rsidRPr="00CD32DD" w:rsidRDefault="00CD32DD" w:rsidP="00CD32DD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>Disposiciones de “valor mínimo anual a pagar” (la prevista para usos habitacional/agropecuario y la prevista para usos distintos) y restituir la determinación 100% a el cálculo de avaluó x tarifa: todo el impuesto debe resultar de avalúo y evitar así no cobros fijos.</w:t>
      </w:r>
    </w:p>
    <w:p w14:paraId="05CA243A" w14:textId="77777777" w:rsidR="00CD32DD" w:rsidRPr="00CD32DD" w:rsidRDefault="00CD32DD" w:rsidP="00CD32DD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>Precisar criterios para dependencias/cuarto útil.</w:t>
      </w:r>
    </w:p>
    <w:p w14:paraId="36DC68BD" w14:textId="6DD96E73" w:rsidR="00CD32DD" w:rsidRPr="00CD32DD" w:rsidRDefault="00CD32DD" w:rsidP="00CD32DD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>Incorporar límites y un esquema de transición/gradualidad para procesos de actualización y rezago catastral y de igual manera aplicar estas limitantes a las sobretasas atadas al IPU o al avaluó catastral</w:t>
      </w:r>
      <w:r w:rsidRPr="00CD32DD">
        <w:rPr>
          <w:rFonts w:ascii="Aptos" w:hAnsi="Aptos" w:cs="Times New Roman"/>
        </w:rPr>
        <w:t xml:space="preserve">. </w:t>
      </w:r>
    </w:p>
    <w:p w14:paraId="40AADFD2" w14:textId="77777777" w:rsidR="00CD32DD" w:rsidRPr="00CD32DD" w:rsidRDefault="00CD32DD" w:rsidP="00CD32DD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CD32DD">
        <w:rPr>
          <w:rFonts w:ascii="Aptos" w:hAnsi="Aptos" w:cs="Times New Roman"/>
        </w:rPr>
        <w:t>Determinación y notificación: Incorporar factura con mérito ejecutivo con contenido mínimo (identificación sujeto/predio, base, tarifa, liquidación, medios de pago, recursos) y protocolo de notificación (difusión previa, publicación en web/cartelera y demás elementos procedimentales y técnicos).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E5582" w14:textId="77777777" w:rsidR="004A39B6" w:rsidRDefault="004A39B6" w:rsidP="00707E60">
      <w:pPr>
        <w:spacing w:after="0" w:line="240" w:lineRule="auto"/>
      </w:pPr>
      <w:r>
        <w:separator/>
      </w:r>
    </w:p>
  </w:endnote>
  <w:endnote w:type="continuationSeparator" w:id="0">
    <w:p w14:paraId="54239014" w14:textId="77777777" w:rsidR="004A39B6" w:rsidRDefault="004A39B6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B9663" w14:textId="77777777" w:rsidR="004A39B6" w:rsidRDefault="004A39B6" w:rsidP="00707E60">
      <w:pPr>
        <w:spacing w:after="0" w:line="240" w:lineRule="auto"/>
      </w:pPr>
      <w:r>
        <w:separator/>
      </w:r>
    </w:p>
  </w:footnote>
  <w:footnote w:type="continuationSeparator" w:id="0">
    <w:p w14:paraId="3F131C30" w14:textId="77777777" w:rsidR="004A39B6" w:rsidRDefault="004A39B6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4840449E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E724E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Peque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4840449E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E724EE">
                      <w:rPr>
                        <w:color w:val="000000" w:themeColor="text1"/>
                        <w:sz w:val="28"/>
                        <w:szCs w:val="28"/>
                      </w:rPr>
                      <w:t>Peque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22E8"/>
    <w:multiLevelType w:val="multilevel"/>
    <w:tmpl w:val="B3B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5421A"/>
    <w:multiLevelType w:val="multilevel"/>
    <w:tmpl w:val="3CE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84B80"/>
    <w:multiLevelType w:val="multilevel"/>
    <w:tmpl w:val="42CC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4216E"/>
    <w:multiLevelType w:val="multilevel"/>
    <w:tmpl w:val="867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60A7F"/>
    <w:multiLevelType w:val="multilevel"/>
    <w:tmpl w:val="C78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30C83"/>
    <w:multiLevelType w:val="multilevel"/>
    <w:tmpl w:val="78A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2"/>
  </w:num>
  <w:num w:numId="2" w16cid:durableId="1017347282">
    <w:abstractNumId w:val="18"/>
  </w:num>
  <w:num w:numId="3" w16cid:durableId="44450645">
    <w:abstractNumId w:val="21"/>
  </w:num>
  <w:num w:numId="4" w16cid:durableId="1953855267">
    <w:abstractNumId w:val="1"/>
  </w:num>
  <w:num w:numId="5" w16cid:durableId="1281302291">
    <w:abstractNumId w:val="8"/>
  </w:num>
  <w:num w:numId="6" w16cid:durableId="198319745">
    <w:abstractNumId w:val="20"/>
  </w:num>
  <w:num w:numId="7" w16cid:durableId="1222793921">
    <w:abstractNumId w:val="2"/>
  </w:num>
  <w:num w:numId="8" w16cid:durableId="1663466582">
    <w:abstractNumId w:val="22"/>
  </w:num>
  <w:num w:numId="9" w16cid:durableId="1601404175">
    <w:abstractNumId w:val="27"/>
  </w:num>
  <w:num w:numId="10" w16cid:durableId="1696037023">
    <w:abstractNumId w:val="24"/>
  </w:num>
  <w:num w:numId="11" w16cid:durableId="1726874531">
    <w:abstractNumId w:val="7"/>
  </w:num>
  <w:num w:numId="12" w16cid:durableId="1308511851">
    <w:abstractNumId w:val="15"/>
  </w:num>
  <w:num w:numId="13" w16cid:durableId="470710239">
    <w:abstractNumId w:val="11"/>
  </w:num>
  <w:num w:numId="14" w16cid:durableId="335232453">
    <w:abstractNumId w:val="0"/>
  </w:num>
  <w:num w:numId="15" w16cid:durableId="864756385">
    <w:abstractNumId w:val="23"/>
  </w:num>
  <w:num w:numId="16" w16cid:durableId="1808812370">
    <w:abstractNumId w:val="9"/>
  </w:num>
  <w:num w:numId="17" w16cid:durableId="230238942">
    <w:abstractNumId w:val="25"/>
  </w:num>
  <w:num w:numId="18" w16cid:durableId="1750955448">
    <w:abstractNumId w:val="16"/>
  </w:num>
  <w:num w:numId="19" w16cid:durableId="1620525228">
    <w:abstractNumId w:val="19"/>
  </w:num>
  <w:num w:numId="20" w16cid:durableId="1971281397">
    <w:abstractNumId w:val="17"/>
  </w:num>
  <w:num w:numId="21" w16cid:durableId="898437512">
    <w:abstractNumId w:val="13"/>
  </w:num>
  <w:num w:numId="22" w16cid:durableId="1857577869">
    <w:abstractNumId w:val="14"/>
  </w:num>
  <w:num w:numId="23" w16cid:durableId="2099017172">
    <w:abstractNumId w:val="4"/>
  </w:num>
  <w:num w:numId="24" w16cid:durableId="247349472">
    <w:abstractNumId w:val="6"/>
  </w:num>
  <w:num w:numId="25" w16cid:durableId="999231555">
    <w:abstractNumId w:val="10"/>
  </w:num>
  <w:num w:numId="26" w16cid:durableId="720834703">
    <w:abstractNumId w:val="3"/>
  </w:num>
  <w:num w:numId="27" w16cid:durableId="1947344807">
    <w:abstractNumId w:val="5"/>
  </w:num>
  <w:num w:numId="28" w16cid:durableId="6317910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84B98"/>
    <w:rsid w:val="00087C16"/>
    <w:rsid w:val="000A76FA"/>
    <w:rsid w:val="000C2026"/>
    <w:rsid w:val="000E17E7"/>
    <w:rsid w:val="001105DF"/>
    <w:rsid w:val="00120797"/>
    <w:rsid w:val="00134527"/>
    <w:rsid w:val="0016665C"/>
    <w:rsid w:val="00180D84"/>
    <w:rsid w:val="001B556D"/>
    <w:rsid w:val="00211E44"/>
    <w:rsid w:val="0023618C"/>
    <w:rsid w:val="00280F9A"/>
    <w:rsid w:val="002A4167"/>
    <w:rsid w:val="003650D0"/>
    <w:rsid w:val="003A7CEA"/>
    <w:rsid w:val="003E2241"/>
    <w:rsid w:val="004107CA"/>
    <w:rsid w:val="004273E5"/>
    <w:rsid w:val="004671B7"/>
    <w:rsid w:val="004A39B6"/>
    <w:rsid w:val="005422DF"/>
    <w:rsid w:val="005B772A"/>
    <w:rsid w:val="005D08ED"/>
    <w:rsid w:val="005F7A75"/>
    <w:rsid w:val="00605B4C"/>
    <w:rsid w:val="00656CE7"/>
    <w:rsid w:val="00665846"/>
    <w:rsid w:val="006A249B"/>
    <w:rsid w:val="00707E60"/>
    <w:rsid w:val="00745C46"/>
    <w:rsid w:val="00813F67"/>
    <w:rsid w:val="00816BD4"/>
    <w:rsid w:val="00844CC8"/>
    <w:rsid w:val="00845F02"/>
    <w:rsid w:val="00852ADC"/>
    <w:rsid w:val="00855468"/>
    <w:rsid w:val="008A01C7"/>
    <w:rsid w:val="00944C88"/>
    <w:rsid w:val="0096088F"/>
    <w:rsid w:val="009D1F9E"/>
    <w:rsid w:val="009F1B3C"/>
    <w:rsid w:val="00A27409"/>
    <w:rsid w:val="00A407A7"/>
    <w:rsid w:val="00A456B7"/>
    <w:rsid w:val="00A55C9A"/>
    <w:rsid w:val="00A566B6"/>
    <w:rsid w:val="00A60686"/>
    <w:rsid w:val="00A96461"/>
    <w:rsid w:val="00AA7DD4"/>
    <w:rsid w:val="00AE2D50"/>
    <w:rsid w:val="00BB442A"/>
    <w:rsid w:val="00BC7035"/>
    <w:rsid w:val="00C04706"/>
    <w:rsid w:val="00C25E4F"/>
    <w:rsid w:val="00C942B0"/>
    <w:rsid w:val="00CD32DD"/>
    <w:rsid w:val="00D37EF2"/>
    <w:rsid w:val="00DB14E5"/>
    <w:rsid w:val="00DD0016"/>
    <w:rsid w:val="00E20840"/>
    <w:rsid w:val="00E608BE"/>
    <w:rsid w:val="00E724EE"/>
    <w:rsid w:val="00E733D1"/>
    <w:rsid w:val="00EF712C"/>
    <w:rsid w:val="00F244D0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25</cp:revision>
  <dcterms:created xsi:type="dcterms:W3CDTF">2025-10-23T17:12:00Z</dcterms:created>
  <dcterms:modified xsi:type="dcterms:W3CDTF">2025-11-04T16:18:00Z</dcterms:modified>
</cp:coreProperties>
</file>