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34F79A4D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506B6A">
        <w:rPr>
          <w:color w:val="000000" w:themeColor="text1"/>
          <w:sz w:val="44"/>
          <w:szCs w:val="44"/>
        </w:rPr>
        <w:t>San Carlos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594C629C" w14:textId="77777777" w:rsidR="00AB7560" w:rsidRPr="00AB7560" w:rsidRDefault="00AB7560" w:rsidP="00AB7560">
      <w:pPr>
        <w:spacing w:line="360" w:lineRule="auto"/>
        <w:rPr>
          <w:rFonts w:ascii="Aptos" w:eastAsia="Arial" w:hAnsi="Aptos"/>
        </w:rPr>
      </w:pPr>
      <w:r w:rsidRPr="00AB7560">
        <w:rPr>
          <w:rFonts w:ascii="Aptos" w:eastAsia="Arial" w:hAnsi="Aptos"/>
        </w:rPr>
        <w:lastRenderedPageBreak/>
        <w:t>El estado actual de su normatividad tributaria se establece en el Acuerdo 13 de 2021.</w:t>
      </w:r>
    </w:p>
    <w:p w14:paraId="626FDC9A" w14:textId="77777777" w:rsidR="00AB7560" w:rsidRPr="00AB7560" w:rsidRDefault="00AB7560" w:rsidP="00AB7560">
      <w:pPr>
        <w:spacing w:line="360" w:lineRule="auto"/>
        <w:rPr>
          <w:rFonts w:ascii="Aptos" w:hAnsi="Aptos"/>
          <w:sz w:val="32"/>
          <w:szCs w:val="32"/>
        </w:rPr>
      </w:pPr>
      <w:r w:rsidRPr="00AB7560">
        <w:rPr>
          <w:rFonts w:ascii="Aptos" w:eastAsia="Arial" w:hAnsi="Aptos"/>
          <w:b/>
          <w:bCs/>
          <w:sz w:val="32"/>
          <w:szCs w:val="32"/>
        </w:rPr>
        <w:t>Hallazgos</w:t>
      </w:r>
    </w:p>
    <w:p w14:paraId="786EE94B" w14:textId="77777777" w:rsidR="00AB7560" w:rsidRPr="00AB7560" w:rsidRDefault="00AB7560" w:rsidP="00AB7560">
      <w:pPr>
        <w:pStyle w:val="ListParagraph"/>
        <w:widowControl w:val="0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AB7560">
        <w:rPr>
          <w:rFonts w:ascii="Aptos" w:hAnsi="Aptos" w:cs="Times New Roman"/>
        </w:rPr>
        <w:t xml:space="preserve"> 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51F8CAEC" w14:textId="77777777" w:rsidR="00AB7560" w:rsidRPr="00AB7560" w:rsidRDefault="00AB7560" w:rsidP="00AB7560">
      <w:pPr>
        <w:pStyle w:val="ListParagraph"/>
        <w:widowControl w:val="0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AB7560">
        <w:rPr>
          <w:rFonts w:ascii="Aptos" w:hAnsi="Aptos" w:cs="Times New Roman"/>
        </w:rPr>
        <w:t>Los procedimientos catastrales permanecen anclados a la Resolución 070 de 2011; no se evidencia adopción expresa del marco operativo vigente, Resolución 1040 de 2023.</w:t>
      </w:r>
    </w:p>
    <w:p w14:paraId="508D9022" w14:textId="77777777" w:rsidR="00AB7560" w:rsidRPr="00AB7560" w:rsidRDefault="00AB7560" w:rsidP="00AB7560">
      <w:pPr>
        <w:pStyle w:val="ListParagraph"/>
        <w:widowControl w:val="0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AB7560">
        <w:rPr>
          <w:rFonts w:ascii="Aptos" w:hAnsi="Aptos" w:cs="Times New Roman"/>
        </w:rPr>
        <w:t>La matriz tarifaria por destinación y rangos de avalúo establece un mínimo de 3‰ y un máximo de 28‰; se observa tarifa 0 para destinaciones religiosas, lo que desnaturaliza la estructura del tributo y crea un beneficio implícito sin procedimiento, requisitos ni estimación del costo fiscal.</w:t>
      </w:r>
    </w:p>
    <w:p w14:paraId="61DF3E5E" w14:textId="77777777" w:rsidR="00AB7560" w:rsidRPr="00AB7560" w:rsidRDefault="00AB7560" w:rsidP="00AB7560">
      <w:pPr>
        <w:pStyle w:val="ListParagraph"/>
        <w:widowControl w:val="0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AB7560">
        <w:rPr>
          <w:rFonts w:ascii="Aptos" w:hAnsi="Aptos" w:cs="Times New Roman"/>
        </w:rPr>
        <w:t>Para predios con área en suelo urbano y rural se aplica el criterio de mayor extensión para la ubicación tributaria, sin anclaje a la unidad predial ni a certificación de la autoridad catastral; esto puede contradecir la localización catastral oficial y producir liquidaciones inequitativas.</w:t>
      </w:r>
    </w:p>
    <w:p w14:paraId="4C688A11" w14:textId="77777777" w:rsidR="00AB7560" w:rsidRPr="00AB7560" w:rsidRDefault="00AB7560" w:rsidP="00AB7560">
      <w:pPr>
        <w:pStyle w:val="ListParagraph"/>
        <w:widowControl w:val="0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AB7560">
        <w:rPr>
          <w:rFonts w:ascii="Aptos" w:hAnsi="Aptos" w:cs="Times New Roman"/>
        </w:rPr>
        <w:t>El tratamiento preferente para “industrias que desarrollen cadenas productivas” fija tarifa “hasta 3‰” sin parámetros de elegibilidad, verificación ni vigencia; además, la definición del parágrafo incorpora actividades comerciales y de servicios, ampliando indebidamente el alcance del beneficio y abriendo espacio a solicitudes improcedentes.</w:t>
      </w:r>
    </w:p>
    <w:p w14:paraId="618599EC" w14:textId="77777777" w:rsidR="00AB7560" w:rsidRPr="00AB7560" w:rsidRDefault="00AB7560" w:rsidP="00AB7560">
      <w:pPr>
        <w:pStyle w:val="ListParagraph"/>
        <w:spacing w:line="360" w:lineRule="auto"/>
        <w:rPr>
          <w:rFonts w:ascii="Aptos" w:hAnsi="Aptos" w:cs="Times New Roman"/>
        </w:rPr>
      </w:pPr>
    </w:p>
    <w:p w14:paraId="5D6ED437" w14:textId="77777777" w:rsidR="00AB7560" w:rsidRPr="00AB7560" w:rsidRDefault="00AB7560" w:rsidP="00AB7560">
      <w:pPr>
        <w:spacing w:line="360" w:lineRule="auto"/>
        <w:rPr>
          <w:rFonts w:ascii="Aptos" w:hAnsi="Aptos"/>
          <w:sz w:val="32"/>
          <w:szCs w:val="32"/>
        </w:rPr>
      </w:pPr>
      <w:r w:rsidRPr="00AB7560">
        <w:rPr>
          <w:rFonts w:ascii="Aptos" w:eastAsia="Arial" w:hAnsi="Aptos"/>
          <w:b/>
          <w:bCs/>
          <w:sz w:val="32"/>
          <w:szCs w:val="32"/>
        </w:rPr>
        <w:t>Recomendaciones</w:t>
      </w:r>
    </w:p>
    <w:p w14:paraId="7FD027E1" w14:textId="77777777" w:rsidR="00AB7560" w:rsidRPr="00AB7560" w:rsidRDefault="00AB7560" w:rsidP="00AB7560">
      <w:pPr>
        <w:pStyle w:val="ListParagraph"/>
        <w:widowControl w:val="0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AB7560">
        <w:rPr>
          <w:rFonts w:ascii="Aptos" w:hAnsi="Aptos" w:cs="Times New Roman"/>
        </w:rPr>
        <w:t>Actualizar la tabla de destinos económicos conforme a la Resolución 2025060163216. Esto garantizará que todos los destinos contemplados en el modelo LADM-COL versión 4.1 cuenten con una tarifa definida, evitando la pérdida de ingresos fiscales.</w:t>
      </w:r>
    </w:p>
    <w:p w14:paraId="6F96E423" w14:textId="77777777" w:rsidR="00AB7560" w:rsidRPr="00AB7560" w:rsidRDefault="00AB7560" w:rsidP="00AB7560">
      <w:pPr>
        <w:pStyle w:val="ListParagraph"/>
        <w:widowControl w:val="0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AB7560">
        <w:rPr>
          <w:rFonts w:ascii="Aptos" w:hAnsi="Aptos" w:cs="Times New Roman"/>
        </w:rPr>
        <w:t>Adoptar la Resolución 1040 de 2023 como marco operativo de procedimientos, definiciones y nomenclatura.</w:t>
      </w:r>
    </w:p>
    <w:p w14:paraId="0ABB073B" w14:textId="77777777" w:rsidR="00AB7560" w:rsidRPr="00AB7560" w:rsidRDefault="00AB7560" w:rsidP="00AB7560">
      <w:pPr>
        <w:pStyle w:val="ListParagraph"/>
        <w:widowControl w:val="0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AB7560">
        <w:rPr>
          <w:rFonts w:ascii="Aptos" w:hAnsi="Aptos" w:cs="Times New Roman"/>
        </w:rPr>
        <w:t xml:space="preserve">Reordenar la matriz tarifaria eliminando tarifas 0: cuando corresponda reconocimiento </w:t>
      </w:r>
      <w:r w:rsidRPr="00AB7560">
        <w:rPr>
          <w:rFonts w:ascii="Aptos" w:hAnsi="Aptos" w:cs="Times New Roman"/>
        </w:rPr>
        <w:lastRenderedPageBreak/>
        <w:t>de trato preferente, encauzarlo como exención o tratamiento especial con requisitos.</w:t>
      </w:r>
    </w:p>
    <w:p w14:paraId="4411274B" w14:textId="77777777" w:rsidR="00AB7560" w:rsidRPr="00AB7560" w:rsidRDefault="00AB7560" w:rsidP="00AB7560">
      <w:pPr>
        <w:pStyle w:val="ListParagraph"/>
        <w:widowControl w:val="0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AB7560">
        <w:rPr>
          <w:rFonts w:ascii="Aptos" w:hAnsi="Aptos" w:cs="Times New Roman"/>
        </w:rPr>
        <w:t>Sustituir la regla de “mayor extensión” por una basada en la unidad predial y la localización catastral certificada; cuando un mismo inmueble abarque zonas urbana y rural, prorratear por áreas oficialmente determinadas por la autoridad catastral.</w:t>
      </w:r>
    </w:p>
    <w:p w14:paraId="611D3F50" w14:textId="77777777" w:rsidR="00AB7560" w:rsidRPr="00AB7560" w:rsidRDefault="00AB7560" w:rsidP="00AB7560">
      <w:pPr>
        <w:pStyle w:val="ListParagraph"/>
        <w:widowControl w:val="0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AB7560">
        <w:rPr>
          <w:rFonts w:ascii="Aptos" w:hAnsi="Aptos" w:cs="Times New Roman"/>
        </w:rPr>
        <w:t>Precisar el beneficio a industrias de cadenas productivas: definir tarifa cierta (1, 2 o 3‰) o escala condicionada a criterios verificables (encadenamientos medibles, empleo formal, indicadores sectoriales), delimitar el ámbito estrictamente industrial, excluir actividades comerciales y de servicios, y establecer trámite, vigencia, controles y causales de pérdida.</w:t>
      </w:r>
    </w:p>
    <w:p w14:paraId="3A12BC73" w14:textId="77777777" w:rsidR="00AB7560" w:rsidRPr="00AB7560" w:rsidRDefault="00AB7560" w:rsidP="00AB7560">
      <w:pPr>
        <w:pStyle w:val="ListParagraph"/>
        <w:widowControl w:val="0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AB7560">
        <w:rPr>
          <w:rFonts w:ascii="Aptos" w:hAnsi="Aptos" w:cs="Times New Roman"/>
        </w:rPr>
        <w:t xml:space="preserve">Incorporar límites y un esquema de transición/gradualidad diferenciando escenarios de actualización y de rezago catastral, y prever su coordinación con gravámenes atados al avalúo 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9EDB2" w14:textId="77777777" w:rsidR="00194588" w:rsidRDefault="00194588" w:rsidP="00707E60">
      <w:pPr>
        <w:spacing w:after="0" w:line="240" w:lineRule="auto"/>
      </w:pPr>
      <w:r>
        <w:separator/>
      </w:r>
    </w:p>
  </w:endnote>
  <w:endnote w:type="continuationSeparator" w:id="0">
    <w:p w14:paraId="13BF7DD3" w14:textId="77777777" w:rsidR="00194588" w:rsidRDefault="00194588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691BD" w14:textId="77777777" w:rsidR="00194588" w:rsidRDefault="00194588" w:rsidP="00707E60">
      <w:pPr>
        <w:spacing w:after="0" w:line="240" w:lineRule="auto"/>
      </w:pPr>
      <w:r>
        <w:separator/>
      </w:r>
    </w:p>
  </w:footnote>
  <w:footnote w:type="continuationSeparator" w:id="0">
    <w:p w14:paraId="6A0BD95D" w14:textId="77777777" w:rsidR="00194588" w:rsidRDefault="00194588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3CA1B89B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506B6A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San Carlos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3CA1B89B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506B6A">
                      <w:rPr>
                        <w:color w:val="000000" w:themeColor="text1"/>
                        <w:sz w:val="28"/>
                        <w:szCs w:val="28"/>
                      </w:rPr>
                      <w:t>San Carlos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922E8"/>
    <w:multiLevelType w:val="multilevel"/>
    <w:tmpl w:val="B3B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13B06"/>
    <w:multiLevelType w:val="hybridMultilevel"/>
    <w:tmpl w:val="2FB8F1B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CA2157"/>
    <w:multiLevelType w:val="hybridMultilevel"/>
    <w:tmpl w:val="7C2E6E4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35421A"/>
    <w:multiLevelType w:val="multilevel"/>
    <w:tmpl w:val="3CE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4216E"/>
    <w:multiLevelType w:val="multilevel"/>
    <w:tmpl w:val="867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60A7F"/>
    <w:multiLevelType w:val="multilevel"/>
    <w:tmpl w:val="C78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46604"/>
    <w:multiLevelType w:val="multilevel"/>
    <w:tmpl w:val="F92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971A7"/>
    <w:multiLevelType w:val="multilevel"/>
    <w:tmpl w:val="CCF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5231C"/>
    <w:multiLevelType w:val="hybridMultilevel"/>
    <w:tmpl w:val="5DA26766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175E2"/>
    <w:multiLevelType w:val="hybridMultilevel"/>
    <w:tmpl w:val="84F8C5F4"/>
    <w:lvl w:ilvl="0" w:tplc="0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45A77C1"/>
    <w:multiLevelType w:val="hybridMultilevel"/>
    <w:tmpl w:val="DB46AF3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F6039"/>
    <w:multiLevelType w:val="hybridMultilevel"/>
    <w:tmpl w:val="7AC43800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13"/>
  </w:num>
  <w:num w:numId="2" w16cid:durableId="1017347282">
    <w:abstractNumId w:val="20"/>
  </w:num>
  <w:num w:numId="3" w16cid:durableId="44450645">
    <w:abstractNumId w:val="23"/>
  </w:num>
  <w:num w:numId="4" w16cid:durableId="1953855267">
    <w:abstractNumId w:val="1"/>
  </w:num>
  <w:num w:numId="5" w16cid:durableId="1281302291">
    <w:abstractNumId w:val="9"/>
  </w:num>
  <w:num w:numId="6" w16cid:durableId="198319745">
    <w:abstractNumId w:val="22"/>
  </w:num>
  <w:num w:numId="7" w16cid:durableId="1222793921">
    <w:abstractNumId w:val="2"/>
  </w:num>
  <w:num w:numId="8" w16cid:durableId="1663466582">
    <w:abstractNumId w:val="24"/>
  </w:num>
  <w:num w:numId="9" w16cid:durableId="1601404175">
    <w:abstractNumId w:val="31"/>
  </w:num>
  <w:num w:numId="10" w16cid:durableId="1696037023">
    <w:abstractNumId w:val="26"/>
  </w:num>
  <w:num w:numId="11" w16cid:durableId="1726874531">
    <w:abstractNumId w:val="8"/>
  </w:num>
  <w:num w:numId="12" w16cid:durableId="1308511851">
    <w:abstractNumId w:val="16"/>
  </w:num>
  <w:num w:numId="13" w16cid:durableId="470710239">
    <w:abstractNumId w:val="12"/>
  </w:num>
  <w:num w:numId="14" w16cid:durableId="335232453">
    <w:abstractNumId w:val="0"/>
  </w:num>
  <w:num w:numId="15" w16cid:durableId="864756385">
    <w:abstractNumId w:val="25"/>
  </w:num>
  <w:num w:numId="16" w16cid:durableId="1808812370">
    <w:abstractNumId w:val="10"/>
  </w:num>
  <w:num w:numId="17" w16cid:durableId="230238942">
    <w:abstractNumId w:val="29"/>
  </w:num>
  <w:num w:numId="18" w16cid:durableId="1750955448">
    <w:abstractNumId w:val="17"/>
  </w:num>
  <w:num w:numId="19" w16cid:durableId="1620525228">
    <w:abstractNumId w:val="21"/>
  </w:num>
  <w:num w:numId="20" w16cid:durableId="1971281397">
    <w:abstractNumId w:val="19"/>
  </w:num>
  <w:num w:numId="21" w16cid:durableId="898437512">
    <w:abstractNumId w:val="14"/>
  </w:num>
  <w:num w:numId="22" w16cid:durableId="1857577869">
    <w:abstractNumId w:val="15"/>
  </w:num>
  <w:num w:numId="23" w16cid:durableId="2099017172">
    <w:abstractNumId w:val="6"/>
  </w:num>
  <w:num w:numId="24" w16cid:durableId="247349472">
    <w:abstractNumId w:val="7"/>
  </w:num>
  <w:num w:numId="25" w16cid:durableId="999231555">
    <w:abstractNumId w:val="11"/>
  </w:num>
  <w:num w:numId="26" w16cid:durableId="720834703">
    <w:abstractNumId w:val="3"/>
  </w:num>
  <w:num w:numId="27" w16cid:durableId="1572274572">
    <w:abstractNumId w:val="27"/>
  </w:num>
  <w:num w:numId="28" w16cid:durableId="1501236082">
    <w:abstractNumId w:val="18"/>
  </w:num>
  <w:num w:numId="29" w16cid:durableId="1700162810">
    <w:abstractNumId w:val="28"/>
  </w:num>
  <w:num w:numId="30" w16cid:durableId="1948351018">
    <w:abstractNumId w:val="30"/>
  </w:num>
  <w:num w:numId="31" w16cid:durableId="77949455">
    <w:abstractNumId w:val="5"/>
  </w:num>
  <w:num w:numId="32" w16cid:durableId="973754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73BBF"/>
    <w:rsid w:val="00084B98"/>
    <w:rsid w:val="00087C16"/>
    <w:rsid w:val="000A76FA"/>
    <w:rsid w:val="000C2026"/>
    <w:rsid w:val="001105DF"/>
    <w:rsid w:val="00120797"/>
    <w:rsid w:val="00130BDF"/>
    <w:rsid w:val="00134527"/>
    <w:rsid w:val="0016665C"/>
    <w:rsid w:val="00180D84"/>
    <w:rsid w:val="00194588"/>
    <w:rsid w:val="001B556D"/>
    <w:rsid w:val="00211E44"/>
    <w:rsid w:val="0023618C"/>
    <w:rsid w:val="00280F9A"/>
    <w:rsid w:val="002A4167"/>
    <w:rsid w:val="003650D0"/>
    <w:rsid w:val="003A7CEA"/>
    <w:rsid w:val="003E2241"/>
    <w:rsid w:val="003E760C"/>
    <w:rsid w:val="004107CA"/>
    <w:rsid w:val="004671B7"/>
    <w:rsid w:val="004E66EB"/>
    <w:rsid w:val="00506B6A"/>
    <w:rsid w:val="005422DF"/>
    <w:rsid w:val="005B772A"/>
    <w:rsid w:val="005D08ED"/>
    <w:rsid w:val="005F7A75"/>
    <w:rsid w:val="00605B4C"/>
    <w:rsid w:val="00656CE7"/>
    <w:rsid w:val="00665846"/>
    <w:rsid w:val="006A249B"/>
    <w:rsid w:val="00707E60"/>
    <w:rsid w:val="00745C46"/>
    <w:rsid w:val="00813F67"/>
    <w:rsid w:val="00816BD4"/>
    <w:rsid w:val="00844CC8"/>
    <w:rsid w:val="00845F02"/>
    <w:rsid w:val="00852ADC"/>
    <w:rsid w:val="00855468"/>
    <w:rsid w:val="008A01C7"/>
    <w:rsid w:val="00944C88"/>
    <w:rsid w:val="0096088F"/>
    <w:rsid w:val="009A3DE6"/>
    <w:rsid w:val="009D1F9E"/>
    <w:rsid w:val="009F1B3C"/>
    <w:rsid w:val="00A27409"/>
    <w:rsid w:val="00A407A7"/>
    <w:rsid w:val="00A456B7"/>
    <w:rsid w:val="00A55C9A"/>
    <w:rsid w:val="00A566B6"/>
    <w:rsid w:val="00A60686"/>
    <w:rsid w:val="00A96461"/>
    <w:rsid w:val="00AA7DD4"/>
    <w:rsid w:val="00AB7560"/>
    <w:rsid w:val="00AE2D50"/>
    <w:rsid w:val="00BB442A"/>
    <w:rsid w:val="00BC7035"/>
    <w:rsid w:val="00C04706"/>
    <w:rsid w:val="00C25E4F"/>
    <w:rsid w:val="00C8654E"/>
    <w:rsid w:val="00C942B0"/>
    <w:rsid w:val="00D37EF2"/>
    <w:rsid w:val="00D72AAC"/>
    <w:rsid w:val="00DB14E5"/>
    <w:rsid w:val="00DD0016"/>
    <w:rsid w:val="00E20840"/>
    <w:rsid w:val="00E608BE"/>
    <w:rsid w:val="00E733D1"/>
    <w:rsid w:val="00EF712C"/>
    <w:rsid w:val="00F12C45"/>
    <w:rsid w:val="00F244D0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29</cp:revision>
  <dcterms:created xsi:type="dcterms:W3CDTF">2025-10-23T17:12:00Z</dcterms:created>
  <dcterms:modified xsi:type="dcterms:W3CDTF">2025-11-06T12:53:00Z</dcterms:modified>
</cp:coreProperties>
</file>