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4D925041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BB442A">
        <w:rPr>
          <w:color w:val="000000" w:themeColor="text1"/>
          <w:sz w:val="44"/>
          <w:szCs w:val="44"/>
        </w:rPr>
        <w:t>San Francisco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6CF69948" w14:textId="77777777" w:rsidR="0022279B" w:rsidRPr="0022279B" w:rsidRDefault="0022279B" w:rsidP="0022279B">
      <w:pPr>
        <w:spacing w:line="360" w:lineRule="auto"/>
        <w:jc w:val="both"/>
        <w:rPr>
          <w:rFonts w:ascii="Aptos" w:hAnsi="Aptos" w:cs="Times New Roman"/>
        </w:rPr>
      </w:pPr>
      <w:r w:rsidRPr="0022279B">
        <w:rPr>
          <w:rFonts w:ascii="Aptos" w:hAnsi="Aptos" w:cs="Times New Roman"/>
        </w:rPr>
        <w:lastRenderedPageBreak/>
        <w:t>El estado actual de su normatividad tributaria se establece en el Acuerdo 10 de 2023.</w:t>
      </w:r>
    </w:p>
    <w:p w14:paraId="4B634908" w14:textId="77777777" w:rsidR="0022279B" w:rsidRPr="0022279B" w:rsidRDefault="0022279B" w:rsidP="0022279B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22279B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3AF584B5" w14:textId="77777777" w:rsidR="0022279B" w:rsidRPr="0022279B" w:rsidRDefault="0022279B" w:rsidP="0022279B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22279B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77F0F48F" w14:textId="77777777" w:rsidR="0022279B" w:rsidRPr="0022279B" w:rsidRDefault="0022279B" w:rsidP="0022279B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22279B">
        <w:rPr>
          <w:rFonts w:ascii="Aptos" w:hAnsi="Aptos" w:cs="Times New Roman"/>
        </w:rPr>
        <w:t>Referencias operativas a la Resolución 070 de 2011; falta incorporación de la Resolución 1040 de 2023 para procedimientos, definiciones y destinos económicos.</w:t>
      </w:r>
    </w:p>
    <w:p w14:paraId="71E305DC" w14:textId="77777777" w:rsidR="0022279B" w:rsidRPr="0022279B" w:rsidRDefault="0022279B" w:rsidP="0022279B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22279B">
        <w:rPr>
          <w:rFonts w:ascii="Aptos" w:hAnsi="Aptos" w:cs="Times New Roman"/>
        </w:rPr>
        <w:t>Límites del IPU con redacción heterogénea: coexisten reglas diferenciadas (IPC+8 p.p. para predios actualizados; 50 % para no actualizados; tope especial para vivienda estratos 1–2 ≤ 135 SMMLV) y un listado amplio de exclusiones, lo que dificulta la trazabilidad por predio y su control en facturación.</w:t>
      </w:r>
    </w:p>
    <w:p w14:paraId="2D64C920" w14:textId="77777777" w:rsidR="0022279B" w:rsidRPr="0022279B" w:rsidRDefault="0022279B" w:rsidP="0022279B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22279B">
        <w:rPr>
          <w:rFonts w:ascii="Aptos" w:hAnsi="Aptos" w:cs="Times New Roman"/>
        </w:rPr>
        <w:t>Cobertura territorial ambigua en tarifas: aunque varias celdas dicen “urbano y rural”, el texto previo limita la aplicación “única y exclusivamente” a zona urbana y al corregimiento de Aquitania; la tarifa para suelo rural queda incierta.</w:t>
      </w:r>
    </w:p>
    <w:p w14:paraId="0E84A260" w14:textId="77777777" w:rsidR="0022279B" w:rsidRPr="0022279B" w:rsidRDefault="0022279B" w:rsidP="0022279B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22279B">
        <w:rPr>
          <w:rFonts w:ascii="Aptos" w:hAnsi="Aptos" w:cs="Times New Roman"/>
        </w:rPr>
        <w:t>Determinación oficial del impuesto vía factura, no se encuentra adoptado de forma expresa, acto que presta mérito ejecutivo y facilita el cobro del impuesto. También establecer su procedimiento, régimen de notificación y recursos.</w:t>
      </w:r>
    </w:p>
    <w:p w14:paraId="1155F6DF" w14:textId="77777777" w:rsidR="0022279B" w:rsidRPr="0022279B" w:rsidRDefault="0022279B" w:rsidP="0022279B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22279B">
        <w:rPr>
          <w:rFonts w:ascii="Aptos" w:hAnsi="Aptos" w:cs="Times New Roman"/>
        </w:rPr>
        <w:t>Porcentaje ambiental: se prevé un porcentaje ambiental del 15 % sobre el valor del impuesto predial.</w:t>
      </w:r>
    </w:p>
    <w:p w14:paraId="29EC931E" w14:textId="77777777" w:rsidR="0022279B" w:rsidRPr="0022279B" w:rsidRDefault="0022279B" w:rsidP="0022279B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22279B">
        <w:rPr>
          <w:rFonts w:ascii="Aptos" w:hAnsi="Aptos" w:cs="Times New Roman"/>
        </w:rPr>
        <w:t>Beneficios, exenciones y prohibiciones con enfoque ambiental/uso del suelo: existen exclusiones, exenciones para parques naturales/públicos, bienes de autoridades ambientales destinados a conservación (hoyas, laderas, escarpas, conducción de aguas, embalses, colectores, tanques y plantas) y áreas de conservación reglamentadas por el Concejo; no se detallan reglas de cómputo de área cuando la protección recae sobre una porción del predio ni la prelación frente a otros alivios.</w:t>
      </w:r>
    </w:p>
    <w:p w14:paraId="5281F0C1" w14:textId="77777777" w:rsidR="0022279B" w:rsidRDefault="0022279B" w:rsidP="0022279B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</w:p>
    <w:p w14:paraId="73D4B206" w14:textId="62FE57FA" w:rsidR="0022279B" w:rsidRPr="0022279B" w:rsidRDefault="0022279B" w:rsidP="0022279B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22279B">
        <w:rPr>
          <w:rFonts w:ascii="Aptos" w:hAnsi="Aptos" w:cs="Times New Roman"/>
          <w:b/>
          <w:bCs/>
          <w:sz w:val="32"/>
          <w:szCs w:val="32"/>
        </w:rPr>
        <w:lastRenderedPageBreak/>
        <w:t>Recomendaciones</w:t>
      </w:r>
    </w:p>
    <w:p w14:paraId="41BE7F00" w14:textId="77777777" w:rsidR="0022279B" w:rsidRPr="0022279B" w:rsidRDefault="0022279B" w:rsidP="0022279B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22279B">
        <w:rPr>
          <w:rFonts w:ascii="Aptos" w:hAnsi="Aptos" w:cs="Times New Roman"/>
        </w:rPr>
        <w:t>Actualizar la tabla de destinos económicos conforme a la Resolución 2025060163216. Esto garantizará que todos los destinos contemplados en el modelo LADM-COL versión 4.1 cuenten con una tarifa definida, evitando la pérdida de ingresos fiscales.</w:t>
      </w:r>
    </w:p>
    <w:p w14:paraId="441AEF5A" w14:textId="77777777" w:rsidR="0022279B" w:rsidRPr="0022279B" w:rsidRDefault="0022279B" w:rsidP="0022279B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22279B">
        <w:rPr>
          <w:rFonts w:ascii="Aptos" w:hAnsi="Aptos" w:cs="Times New Roman"/>
        </w:rPr>
        <w:t>Incorporar el andamiaje técnico vigente: definir en el capítulo del IPU la adopción expresa de LADM-COL (v4.1), la Resolución 1040 de 2023 y los lineamientos de la Gerencia de Catastro para formación/actualización/conservación y asignación de destinos.</w:t>
      </w:r>
    </w:p>
    <w:p w14:paraId="585D2D0E" w14:textId="77777777" w:rsidR="0022279B" w:rsidRPr="0022279B" w:rsidRDefault="0022279B" w:rsidP="0022279B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22279B">
        <w:rPr>
          <w:rFonts w:ascii="Aptos" w:hAnsi="Aptos" w:cs="Times New Roman"/>
        </w:rPr>
        <w:t xml:space="preserve">Se recomienda establecer una gradualidad de transición a los límites, por procesos de actualización o rezago (escalones anuales hasta tarifa plena) </w:t>
      </w:r>
    </w:p>
    <w:p w14:paraId="0996585E" w14:textId="77777777" w:rsidR="0022279B" w:rsidRPr="0022279B" w:rsidRDefault="0022279B" w:rsidP="0022279B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22279B">
        <w:rPr>
          <w:rFonts w:ascii="Aptos" w:hAnsi="Aptos" w:cs="Times New Roman"/>
        </w:rPr>
        <w:t>Clarificar el ámbito rural en tarifas: si las tarifas vigentes cubren suelo rural, suprimir la restricción previa; si no, incorporar el cuadro específico para rural con sus rangos y destinos.</w:t>
      </w:r>
    </w:p>
    <w:p w14:paraId="67C8BF4D" w14:textId="77777777" w:rsidR="0022279B" w:rsidRPr="0022279B" w:rsidRDefault="0022279B" w:rsidP="0022279B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22279B">
        <w:rPr>
          <w:rFonts w:ascii="Aptos" w:hAnsi="Aptos" w:cs="Times New Roman"/>
        </w:rPr>
        <w:t>Determinación oficial por facturación: definir el sistema de facturación como determinación oficial del IPU que presta mérito ejecutivo, con contenido mínimo del documento, régimen de notificación (inserción en web y publicación en cartelera; envío como divulgación adicional), constancia de notificación, trazabilidad y recurso de reconsideración.</w:t>
      </w:r>
    </w:p>
    <w:p w14:paraId="1B5FCCCF" w14:textId="77777777" w:rsidR="0022279B" w:rsidRPr="0022279B" w:rsidRDefault="0022279B" w:rsidP="0022279B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22279B">
        <w:rPr>
          <w:rFonts w:ascii="Aptos" w:hAnsi="Aptos" w:cs="Times New Roman"/>
        </w:rPr>
        <w:t>Porcentaje ambiental: dejar la regla de porcentaje ambiental en 15 % sobre el valor del IPU, conforme lo aportado.</w:t>
      </w:r>
    </w:p>
    <w:p w14:paraId="4540E0E3" w14:textId="77777777" w:rsidR="0022279B" w:rsidRPr="0022279B" w:rsidRDefault="0022279B" w:rsidP="0022279B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22279B">
        <w:rPr>
          <w:rFonts w:ascii="Aptos" w:hAnsi="Aptos" w:cs="Times New Roman"/>
        </w:rPr>
        <w:t>Beneficios, exenciones y prohibiciones ambientales, uso del suelo: aplicar el beneficio solo sobre la porción protegida (des englobada o georreferenciada), exigir certificación de la autoridad competente y su renovación periódica, por ultimo realizar estimación del costo fiscal.</w:t>
      </w:r>
    </w:p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E4BB1" w14:textId="77777777" w:rsidR="00C03FD2" w:rsidRDefault="00C03FD2" w:rsidP="00707E60">
      <w:pPr>
        <w:spacing w:after="0" w:line="240" w:lineRule="auto"/>
      </w:pPr>
      <w:r>
        <w:separator/>
      </w:r>
    </w:p>
  </w:endnote>
  <w:endnote w:type="continuationSeparator" w:id="0">
    <w:p w14:paraId="572F7B3F" w14:textId="77777777" w:rsidR="00C03FD2" w:rsidRDefault="00C03FD2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A4FE2" w14:textId="77777777" w:rsidR="00C03FD2" w:rsidRDefault="00C03FD2" w:rsidP="00707E60">
      <w:pPr>
        <w:spacing w:after="0" w:line="240" w:lineRule="auto"/>
      </w:pPr>
      <w:r>
        <w:separator/>
      </w:r>
    </w:p>
  </w:footnote>
  <w:footnote w:type="continuationSeparator" w:id="0">
    <w:p w14:paraId="36DC64C0" w14:textId="77777777" w:rsidR="00C03FD2" w:rsidRDefault="00C03FD2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6FF15C7A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BB442A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San Francisco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6FF15C7A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BB442A">
                      <w:rPr>
                        <w:color w:val="000000" w:themeColor="text1"/>
                        <w:sz w:val="28"/>
                        <w:szCs w:val="28"/>
                      </w:rPr>
                      <w:t>San Francisco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D60AC"/>
    <w:multiLevelType w:val="multilevel"/>
    <w:tmpl w:val="F656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86074"/>
    <w:multiLevelType w:val="multilevel"/>
    <w:tmpl w:val="FBF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8"/>
  </w:num>
  <w:num w:numId="2" w16cid:durableId="1017347282">
    <w:abstractNumId w:val="12"/>
  </w:num>
  <w:num w:numId="3" w16cid:durableId="44450645">
    <w:abstractNumId w:val="16"/>
  </w:num>
  <w:num w:numId="4" w16cid:durableId="1953855267">
    <w:abstractNumId w:val="1"/>
  </w:num>
  <w:num w:numId="5" w16cid:durableId="1281302291">
    <w:abstractNumId w:val="4"/>
  </w:num>
  <w:num w:numId="6" w16cid:durableId="198319745">
    <w:abstractNumId w:val="15"/>
  </w:num>
  <w:num w:numId="7" w16cid:durableId="1222793921">
    <w:abstractNumId w:val="2"/>
  </w:num>
  <w:num w:numId="8" w16cid:durableId="1663466582">
    <w:abstractNumId w:val="17"/>
  </w:num>
  <w:num w:numId="9" w16cid:durableId="1601404175">
    <w:abstractNumId w:val="21"/>
  </w:num>
  <w:num w:numId="10" w16cid:durableId="1696037023">
    <w:abstractNumId w:val="19"/>
  </w:num>
  <w:num w:numId="11" w16cid:durableId="1726874531">
    <w:abstractNumId w:val="3"/>
  </w:num>
  <w:num w:numId="12" w16cid:durableId="1308511851">
    <w:abstractNumId w:val="9"/>
  </w:num>
  <w:num w:numId="13" w16cid:durableId="470710239">
    <w:abstractNumId w:val="6"/>
  </w:num>
  <w:num w:numId="14" w16cid:durableId="335232453">
    <w:abstractNumId w:val="0"/>
  </w:num>
  <w:num w:numId="15" w16cid:durableId="864756385">
    <w:abstractNumId w:val="18"/>
  </w:num>
  <w:num w:numId="16" w16cid:durableId="1808812370">
    <w:abstractNumId w:val="5"/>
  </w:num>
  <w:num w:numId="17" w16cid:durableId="230238942">
    <w:abstractNumId w:val="20"/>
  </w:num>
  <w:num w:numId="18" w16cid:durableId="1750955448">
    <w:abstractNumId w:val="10"/>
  </w:num>
  <w:num w:numId="19" w16cid:durableId="1620525228">
    <w:abstractNumId w:val="14"/>
  </w:num>
  <w:num w:numId="20" w16cid:durableId="1971281397">
    <w:abstractNumId w:val="11"/>
  </w:num>
  <w:num w:numId="21" w16cid:durableId="1062369396">
    <w:abstractNumId w:val="7"/>
  </w:num>
  <w:num w:numId="22" w16cid:durableId="15006540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84B98"/>
    <w:rsid w:val="00087C16"/>
    <w:rsid w:val="000C2026"/>
    <w:rsid w:val="00120797"/>
    <w:rsid w:val="00134527"/>
    <w:rsid w:val="0016665C"/>
    <w:rsid w:val="001B556D"/>
    <w:rsid w:val="00211E44"/>
    <w:rsid w:val="0022279B"/>
    <w:rsid w:val="0023618C"/>
    <w:rsid w:val="00280F9A"/>
    <w:rsid w:val="002A4167"/>
    <w:rsid w:val="003650D0"/>
    <w:rsid w:val="003A7CEA"/>
    <w:rsid w:val="003E2241"/>
    <w:rsid w:val="004107CA"/>
    <w:rsid w:val="005422DF"/>
    <w:rsid w:val="005B772A"/>
    <w:rsid w:val="005D08ED"/>
    <w:rsid w:val="005F7A75"/>
    <w:rsid w:val="00605B4C"/>
    <w:rsid w:val="00656CE7"/>
    <w:rsid w:val="00665846"/>
    <w:rsid w:val="006A249B"/>
    <w:rsid w:val="00707E60"/>
    <w:rsid w:val="00745C46"/>
    <w:rsid w:val="00813F67"/>
    <w:rsid w:val="00844CC8"/>
    <w:rsid w:val="00845F02"/>
    <w:rsid w:val="00852ADC"/>
    <w:rsid w:val="00855468"/>
    <w:rsid w:val="008A01C7"/>
    <w:rsid w:val="00944C88"/>
    <w:rsid w:val="0096088F"/>
    <w:rsid w:val="009D1F9E"/>
    <w:rsid w:val="00A27409"/>
    <w:rsid w:val="00A407A7"/>
    <w:rsid w:val="00A456B7"/>
    <w:rsid w:val="00A55C9A"/>
    <w:rsid w:val="00A60686"/>
    <w:rsid w:val="00A96461"/>
    <w:rsid w:val="00AA7DD4"/>
    <w:rsid w:val="00BB442A"/>
    <w:rsid w:val="00BC7035"/>
    <w:rsid w:val="00C03FD2"/>
    <w:rsid w:val="00C04706"/>
    <w:rsid w:val="00C942B0"/>
    <w:rsid w:val="00D37EF2"/>
    <w:rsid w:val="00DB14E5"/>
    <w:rsid w:val="00DD0016"/>
    <w:rsid w:val="00E20840"/>
    <w:rsid w:val="00E608BE"/>
    <w:rsid w:val="00E733D1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16</cp:revision>
  <dcterms:created xsi:type="dcterms:W3CDTF">2025-10-23T17:12:00Z</dcterms:created>
  <dcterms:modified xsi:type="dcterms:W3CDTF">2025-11-04T16:11:00Z</dcterms:modified>
</cp:coreProperties>
</file>