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7298CFBB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506B6A">
        <w:rPr>
          <w:color w:val="000000" w:themeColor="text1"/>
          <w:sz w:val="44"/>
          <w:szCs w:val="44"/>
        </w:rPr>
        <w:t xml:space="preserve">San </w:t>
      </w:r>
      <w:r w:rsidR="00E3658D">
        <w:rPr>
          <w:color w:val="000000" w:themeColor="text1"/>
          <w:sz w:val="44"/>
          <w:szCs w:val="44"/>
        </w:rPr>
        <w:t>Rafael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3BD37492" w14:textId="77777777" w:rsidR="006F5715" w:rsidRPr="00F57929" w:rsidRDefault="006F5715" w:rsidP="006F5715">
      <w:pPr>
        <w:spacing w:line="360" w:lineRule="auto"/>
      </w:pPr>
      <w:r w:rsidRPr="00F57929">
        <w:lastRenderedPageBreak/>
        <w:t>El estado actual de su normatividad tributaria se establece en el Acuerdo 23 de 2020.</w:t>
      </w:r>
    </w:p>
    <w:p w14:paraId="3A2BE94C" w14:textId="77777777" w:rsidR="006F5715" w:rsidRPr="008C4785" w:rsidRDefault="006F5715" w:rsidP="006F5715">
      <w:pPr>
        <w:spacing w:line="360" w:lineRule="auto"/>
        <w:jc w:val="both"/>
        <w:rPr>
          <w:b/>
          <w:bCs/>
          <w:sz w:val="32"/>
          <w:szCs w:val="32"/>
        </w:rPr>
      </w:pPr>
      <w:r w:rsidRPr="008C4785">
        <w:rPr>
          <w:b/>
          <w:bCs/>
          <w:sz w:val="32"/>
          <w:szCs w:val="32"/>
        </w:rPr>
        <w:t>Hallazgos</w:t>
      </w:r>
    </w:p>
    <w:p w14:paraId="41A1C8E6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76A4F38C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Los procedimientos catastrales y definiciones técnicas permanecen anclados en marcos anteriores; no se evidencia adopción expresa de la Resolución 1040 de 2023 del IGAC.</w:t>
      </w:r>
    </w:p>
    <w:p w14:paraId="31203374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La matriz tarifaria urbana y rural está expresada en pesos con cortes desactualizados (</w:t>
      </w:r>
      <w:r w:rsidRPr="00F57929">
        <w:t>ejemplo:</w:t>
      </w:r>
      <w:r w:rsidRPr="007839DD">
        <w:t xml:space="preserve"> $1</w:t>
      </w:r>
      <w:r w:rsidRPr="00F57929">
        <w:t xml:space="preserve"> a </w:t>
      </w:r>
      <w:r w:rsidRPr="007839DD">
        <w:t xml:space="preserve">$5 millones; “$25 millones en adelante”), lo que concentra la mayoría de predios en los tramos superiores y </w:t>
      </w:r>
      <w:r w:rsidRPr="00F57929">
        <w:t>elimina</w:t>
      </w:r>
      <w:r w:rsidRPr="007839DD">
        <w:t xml:space="preserve"> la carga </w:t>
      </w:r>
      <w:r w:rsidRPr="00F57929">
        <w:t>progresiva.</w:t>
      </w:r>
    </w:p>
    <w:p w14:paraId="3B62AAB4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 xml:space="preserve">Parágrafo de tarifa especial (8‰) para lotes no urbanizables condicionada a residencia </w:t>
      </w:r>
      <w:r w:rsidRPr="00F57929">
        <w:t xml:space="preserve">mayor a </w:t>
      </w:r>
      <w:r w:rsidRPr="007839DD">
        <w:t xml:space="preserve">15 años o cédula expedida en el municipio: el criterio es subjetivo (centrado en la persona) y no predial, </w:t>
      </w:r>
      <w:r w:rsidRPr="00F57929">
        <w:t xml:space="preserve">esto desencadena en </w:t>
      </w:r>
      <w:r w:rsidRPr="007839DD">
        <w:t>riesgo de trato desigual</w:t>
      </w:r>
      <w:r w:rsidRPr="00F57929">
        <w:t>, injustificado,</w:t>
      </w:r>
      <w:r w:rsidRPr="007839DD">
        <w:t xml:space="preserve"> y desnaturalización del IPU.</w:t>
      </w:r>
    </w:p>
    <w:p w14:paraId="533B92C2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 xml:space="preserve">Limitantes al IPU superpuestas: (i) tope IPC+8 p.p. para predios actualizados; (ii) tope del 50% para no actualizados; y (iii) régimen de transición del art. 53 (año 1: +30% sobre el impuesto del año de actualización; año 2: +10% sobre el del año 1; año 3: +10% sobre el del año 2; año 4: tarifa plena). </w:t>
      </w:r>
    </w:p>
    <w:p w14:paraId="2F79EE60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Determinación oficial por factura con mérito ejecutivo y notificación por web/cartelera: diseño adecuado, pero sin protocolo probatorio mínimo (registro de publicación, constancias, domicilio electrónico).</w:t>
      </w:r>
    </w:p>
    <w:p w14:paraId="73BAA0CE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Incentivo de pronto pago del 10% hasta el 31 de marzo y cláusula de no concurrencia con otros beneficios.</w:t>
      </w:r>
    </w:p>
    <w:p w14:paraId="59B7E70F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t>Sobretasas: ambiental 1,5‰ y bomberil 1‰ sobre el avalúo; no se precisa su interacción con límites/transición del IPU, con riesgo de impacto agregado alto tras procesos catastrales.</w:t>
      </w:r>
    </w:p>
    <w:p w14:paraId="7F281DC3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7839DD">
        <w:lastRenderedPageBreak/>
        <w:t>“</w:t>
      </w:r>
      <w:r w:rsidRPr="00F57929">
        <w:t>P</w:t>
      </w:r>
      <w:r w:rsidRPr="007839DD">
        <w:t>rohibido gravamen” a parques naturales o parques públicos estatales (coherente con la línea general), pero sin una cláusula de coordinación con el inventario ambiental vigente ni con delimitaciones geoespaciales oficiales.</w:t>
      </w:r>
    </w:p>
    <w:p w14:paraId="410AB096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F57929">
        <w:t>E</w:t>
      </w:r>
      <w:r w:rsidRPr="007839DD">
        <w:t>xoneración por protección de fuentes hídricas</w:t>
      </w:r>
      <w:r w:rsidRPr="00F57929">
        <w:t xml:space="preserve">, Se establece de </w:t>
      </w:r>
      <w:r w:rsidRPr="007839DD">
        <w:t xml:space="preserve">hasta 50%”: carece de </w:t>
      </w:r>
      <w:r w:rsidRPr="00F57929">
        <w:t>criterios objetivos de establecimiento del beneficio ( que porcentaje de protección corresponde a el porcentaje del beneficio).</w:t>
      </w:r>
    </w:p>
    <w:p w14:paraId="52252FCD" w14:textId="77777777" w:rsidR="006F5715" w:rsidRPr="007839DD" w:rsidRDefault="006F5715" w:rsidP="006F5715">
      <w:pPr>
        <w:numPr>
          <w:ilvl w:val="0"/>
          <w:numId w:val="33"/>
        </w:numPr>
        <w:spacing w:line="360" w:lineRule="auto"/>
        <w:jc w:val="both"/>
      </w:pPr>
      <w:r w:rsidRPr="00F57929">
        <w:t>E</w:t>
      </w:r>
      <w:r w:rsidRPr="007839DD">
        <w:t xml:space="preserve">xoneración por vocación agrícola “hasta 50%” proporcional al área cultivada para consumo humano: no define umbrales, escalas por tramos; </w:t>
      </w:r>
      <w:r w:rsidRPr="00F57929">
        <w:t xml:space="preserve">esto </w:t>
      </w:r>
      <w:r w:rsidRPr="007839DD">
        <w:t>limita su capacidad de incentivo.</w:t>
      </w:r>
    </w:p>
    <w:p w14:paraId="77A7A5FC" w14:textId="77777777" w:rsidR="006F5715" w:rsidRPr="008C4785" w:rsidRDefault="006F5715" w:rsidP="006F5715">
      <w:pPr>
        <w:spacing w:line="360" w:lineRule="auto"/>
        <w:jc w:val="both"/>
        <w:rPr>
          <w:b/>
          <w:bCs/>
          <w:sz w:val="32"/>
          <w:szCs w:val="32"/>
        </w:rPr>
      </w:pPr>
      <w:r w:rsidRPr="008C4785">
        <w:rPr>
          <w:b/>
          <w:bCs/>
          <w:sz w:val="32"/>
          <w:szCs w:val="32"/>
        </w:rPr>
        <w:t>Recomendaciones</w:t>
      </w:r>
    </w:p>
    <w:p w14:paraId="75979E91" w14:textId="77777777" w:rsidR="006F5715" w:rsidRPr="007839DD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7839DD">
        <w:t>Actualizar la tabla de destinos económicos conforme a la Resolución 2025060163216 para alinear integralmente el estatuto con el modelo LADM-COL v4.1 y evitar vacíos tarifarios.</w:t>
      </w:r>
    </w:p>
    <w:p w14:paraId="54AB21C7" w14:textId="77777777" w:rsidR="006F5715" w:rsidRPr="007839DD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7839DD">
        <w:t>Adoptar por acto expreso la Resolución 1040 de 2023 del IGAC como marco operativo de procedimientos y nomenclaturas catastrales.</w:t>
      </w:r>
    </w:p>
    <w:p w14:paraId="443BA7EF" w14:textId="77777777" w:rsidR="006F5715" w:rsidRPr="007839DD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7839DD">
        <w:t xml:space="preserve">Rediseñar </w:t>
      </w:r>
      <w:r w:rsidRPr="00F57929">
        <w:t>la</w:t>
      </w:r>
      <w:r w:rsidRPr="007839DD">
        <w:t xml:space="preserve"> matriz tarifaria en UVT y por destinación económica, con cortes realistas según la distribución local </w:t>
      </w:r>
    </w:p>
    <w:p w14:paraId="3FA65118" w14:textId="77777777" w:rsidR="006F5715" w:rsidRPr="007839DD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7839DD">
        <w:t>En rural, eliminar tarifas planas “desde $1 en adelante” y replicar el esquema en UVT con progresividad por capacidad productiva.</w:t>
      </w:r>
    </w:p>
    <w:p w14:paraId="6A81D451" w14:textId="7BD7F695" w:rsidR="006F5715" w:rsidRPr="007839DD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F57929">
        <w:t>P</w:t>
      </w:r>
      <w:r w:rsidRPr="007839DD">
        <w:t>rotección de fuentes hídricas: convertir el “hasta 50%” en escalas por % de área protegida certificada</w:t>
      </w:r>
      <w:r w:rsidRPr="00F57929">
        <w:t>.</w:t>
      </w:r>
    </w:p>
    <w:p w14:paraId="11BB1606" w14:textId="77777777" w:rsidR="006F5715" w:rsidRDefault="006F5715" w:rsidP="006F5715">
      <w:pPr>
        <w:numPr>
          <w:ilvl w:val="0"/>
          <w:numId w:val="34"/>
        </w:numPr>
        <w:spacing w:line="360" w:lineRule="auto"/>
        <w:jc w:val="both"/>
      </w:pPr>
      <w:r w:rsidRPr="00F57929">
        <w:t>F</w:t>
      </w:r>
      <w:r w:rsidRPr="007839DD">
        <w:t xml:space="preserve">ijar umbrales escalonados </w:t>
      </w:r>
      <w:r w:rsidRPr="00F57929">
        <w:t>para el beneficio de e</w:t>
      </w:r>
      <w:r w:rsidRPr="007839DD">
        <w:t>xoneración por vocación agrícola</w:t>
      </w:r>
      <w:r>
        <w:t>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EDB2" w14:textId="77777777" w:rsidR="00194588" w:rsidRDefault="00194588" w:rsidP="00707E60">
      <w:pPr>
        <w:spacing w:after="0" w:line="240" w:lineRule="auto"/>
      </w:pPr>
      <w:r>
        <w:separator/>
      </w:r>
    </w:p>
  </w:endnote>
  <w:endnote w:type="continuationSeparator" w:id="0">
    <w:p w14:paraId="13BF7DD3" w14:textId="77777777" w:rsidR="00194588" w:rsidRDefault="00194588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691BD" w14:textId="77777777" w:rsidR="00194588" w:rsidRDefault="00194588" w:rsidP="00707E60">
      <w:pPr>
        <w:spacing w:after="0" w:line="240" w:lineRule="auto"/>
      </w:pPr>
      <w:r>
        <w:separator/>
      </w:r>
    </w:p>
  </w:footnote>
  <w:footnote w:type="continuationSeparator" w:id="0">
    <w:p w14:paraId="6A0BD95D" w14:textId="77777777" w:rsidR="00194588" w:rsidRDefault="00194588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58DD9C57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506B6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San </w:t>
                          </w:r>
                          <w:r w:rsidR="00E3658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Rafael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58DD9C57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506B6A">
                      <w:rPr>
                        <w:color w:val="000000" w:themeColor="text1"/>
                        <w:sz w:val="28"/>
                        <w:szCs w:val="28"/>
                      </w:rPr>
                      <w:t xml:space="preserve">San </w:t>
                    </w:r>
                    <w:r w:rsidR="00E3658D">
                      <w:rPr>
                        <w:color w:val="000000" w:themeColor="text1"/>
                        <w:sz w:val="28"/>
                        <w:szCs w:val="28"/>
                      </w:rPr>
                      <w:t>Rafael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E0F0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16CF6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5"/>
  </w:num>
  <w:num w:numId="2" w16cid:durableId="1017347282">
    <w:abstractNumId w:val="22"/>
  </w:num>
  <w:num w:numId="3" w16cid:durableId="44450645">
    <w:abstractNumId w:val="25"/>
  </w:num>
  <w:num w:numId="4" w16cid:durableId="1953855267">
    <w:abstractNumId w:val="1"/>
  </w:num>
  <w:num w:numId="5" w16cid:durableId="1281302291">
    <w:abstractNumId w:val="10"/>
  </w:num>
  <w:num w:numId="6" w16cid:durableId="198319745">
    <w:abstractNumId w:val="24"/>
  </w:num>
  <w:num w:numId="7" w16cid:durableId="1222793921">
    <w:abstractNumId w:val="2"/>
  </w:num>
  <w:num w:numId="8" w16cid:durableId="1663466582">
    <w:abstractNumId w:val="26"/>
  </w:num>
  <w:num w:numId="9" w16cid:durableId="1601404175">
    <w:abstractNumId w:val="33"/>
  </w:num>
  <w:num w:numId="10" w16cid:durableId="1696037023">
    <w:abstractNumId w:val="28"/>
  </w:num>
  <w:num w:numId="11" w16cid:durableId="1726874531">
    <w:abstractNumId w:val="8"/>
  </w:num>
  <w:num w:numId="12" w16cid:durableId="1308511851">
    <w:abstractNumId w:val="18"/>
  </w:num>
  <w:num w:numId="13" w16cid:durableId="470710239">
    <w:abstractNumId w:val="13"/>
  </w:num>
  <w:num w:numId="14" w16cid:durableId="335232453">
    <w:abstractNumId w:val="0"/>
  </w:num>
  <w:num w:numId="15" w16cid:durableId="864756385">
    <w:abstractNumId w:val="27"/>
  </w:num>
  <w:num w:numId="16" w16cid:durableId="1808812370">
    <w:abstractNumId w:val="11"/>
  </w:num>
  <w:num w:numId="17" w16cid:durableId="230238942">
    <w:abstractNumId w:val="31"/>
  </w:num>
  <w:num w:numId="18" w16cid:durableId="1750955448">
    <w:abstractNumId w:val="19"/>
  </w:num>
  <w:num w:numId="19" w16cid:durableId="1620525228">
    <w:abstractNumId w:val="23"/>
  </w:num>
  <w:num w:numId="20" w16cid:durableId="1971281397">
    <w:abstractNumId w:val="21"/>
  </w:num>
  <w:num w:numId="21" w16cid:durableId="898437512">
    <w:abstractNumId w:val="16"/>
  </w:num>
  <w:num w:numId="22" w16cid:durableId="1857577869">
    <w:abstractNumId w:val="17"/>
  </w:num>
  <w:num w:numId="23" w16cid:durableId="2099017172">
    <w:abstractNumId w:val="6"/>
  </w:num>
  <w:num w:numId="24" w16cid:durableId="247349472">
    <w:abstractNumId w:val="7"/>
  </w:num>
  <w:num w:numId="25" w16cid:durableId="999231555">
    <w:abstractNumId w:val="12"/>
  </w:num>
  <w:num w:numId="26" w16cid:durableId="720834703">
    <w:abstractNumId w:val="3"/>
  </w:num>
  <w:num w:numId="27" w16cid:durableId="1572274572">
    <w:abstractNumId w:val="29"/>
  </w:num>
  <w:num w:numId="28" w16cid:durableId="1501236082">
    <w:abstractNumId w:val="20"/>
  </w:num>
  <w:num w:numId="29" w16cid:durableId="1700162810">
    <w:abstractNumId w:val="30"/>
  </w:num>
  <w:num w:numId="30" w16cid:durableId="1948351018">
    <w:abstractNumId w:val="32"/>
  </w:num>
  <w:num w:numId="31" w16cid:durableId="77949455">
    <w:abstractNumId w:val="5"/>
  </w:num>
  <w:num w:numId="32" w16cid:durableId="973754944">
    <w:abstractNumId w:val="4"/>
  </w:num>
  <w:num w:numId="33" w16cid:durableId="1595629131">
    <w:abstractNumId w:val="14"/>
  </w:num>
  <w:num w:numId="34" w16cid:durableId="932476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6665C"/>
    <w:rsid w:val="00180D84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E66EB"/>
    <w:rsid w:val="00506B6A"/>
    <w:rsid w:val="005422DF"/>
    <w:rsid w:val="005B772A"/>
    <w:rsid w:val="005D08ED"/>
    <w:rsid w:val="005F7A75"/>
    <w:rsid w:val="00605B4C"/>
    <w:rsid w:val="00656CE7"/>
    <w:rsid w:val="00665846"/>
    <w:rsid w:val="006A249B"/>
    <w:rsid w:val="006F5715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8C4785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B442A"/>
    <w:rsid w:val="00BC7035"/>
    <w:rsid w:val="00C04706"/>
    <w:rsid w:val="00C25E4F"/>
    <w:rsid w:val="00C8654E"/>
    <w:rsid w:val="00C942B0"/>
    <w:rsid w:val="00CD1105"/>
    <w:rsid w:val="00D37EF2"/>
    <w:rsid w:val="00D72AAC"/>
    <w:rsid w:val="00DB14E5"/>
    <w:rsid w:val="00DD0016"/>
    <w:rsid w:val="00E20840"/>
    <w:rsid w:val="00E3658D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33</cp:revision>
  <dcterms:created xsi:type="dcterms:W3CDTF">2025-10-23T17:12:00Z</dcterms:created>
  <dcterms:modified xsi:type="dcterms:W3CDTF">2025-11-06T12:59:00Z</dcterms:modified>
</cp:coreProperties>
</file>