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B9DFCDF"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2A510C">
        <w:rPr>
          <w:color w:val="000000" w:themeColor="text1"/>
          <w:sz w:val="44"/>
          <w:szCs w:val="44"/>
        </w:rPr>
        <w:t>Sopetrán</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63E54DA8" w14:textId="77777777" w:rsidR="002A510C" w:rsidRPr="002A510C" w:rsidRDefault="002A510C" w:rsidP="002A510C">
      <w:pPr>
        <w:spacing w:line="360" w:lineRule="auto"/>
        <w:jc w:val="both"/>
        <w:rPr>
          <w:rFonts w:ascii="Aptos" w:hAnsi="Aptos" w:cs="Times New Roman"/>
        </w:rPr>
      </w:pPr>
      <w:r w:rsidRPr="002A510C">
        <w:rPr>
          <w:rFonts w:ascii="Aptos" w:hAnsi="Aptos" w:cs="Times New Roman"/>
        </w:rPr>
        <w:lastRenderedPageBreak/>
        <w:t>El estado actual de su normatividad tributaria se establece en el Acuerdo 011 de 2020.</w:t>
      </w:r>
    </w:p>
    <w:p w14:paraId="6EE11DC4" w14:textId="77777777" w:rsidR="002A510C" w:rsidRPr="002A510C" w:rsidRDefault="002A510C" w:rsidP="002A510C">
      <w:pPr>
        <w:spacing w:line="360" w:lineRule="auto"/>
        <w:jc w:val="both"/>
        <w:rPr>
          <w:rFonts w:ascii="Aptos" w:hAnsi="Aptos" w:cs="Times New Roman"/>
          <w:b/>
          <w:bCs/>
          <w:sz w:val="32"/>
          <w:szCs w:val="32"/>
        </w:rPr>
      </w:pPr>
      <w:r w:rsidRPr="002A510C">
        <w:rPr>
          <w:rFonts w:ascii="Aptos" w:hAnsi="Aptos" w:cs="Times New Roman"/>
          <w:b/>
          <w:bCs/>
          <w:sz w:val="32"/>
          <w:szCs w:val="32"/>
        </w:rPr>
        <w:t>Hallazgos</w:t>
      </w:r>
    </w:p>
    <w:p w14:paraId="4D3FCC15"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2385206A"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El impuesto predial se desarrolla a partir del artículo 10; se fija la autorización legal, el carácter real del impuesto y los procedimientos catastrales, los cuales deben actualizarse con la Resolución 1040 de 2023; se definen los elementos del tributo.</w:t>
      </w:r>
    </w:p>
    <w:p w14:paraId="453953BB"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Matriz tarifaria por rangos de avalúo: 5 por mil a 33 por mil.</w:t>
      </w:r>
    </w:p>
    <w:p w14:paraId="434E02E0"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Porcentaje ambiental del 15 % sobre el IPU recaudado para zona rural; no hay mención expresa a zona urbana, lo que sugiere posible error de redacción.</w:t>
      </w:r>
    </w:p>
    <w:p w14:paraId="22D13254"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La matriz tarifaria retoma destinos económicos que deben actualizarse a sus últimas versiones.</w:t>
      </w:r>
    </w:p>
    <w:p w14:paraId="4E848A05"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Límites: Ley 44 de 1990 y Ley 1995 respecto del impuesto predial.</w:t>
      </w:r>
    </w:p>
    <w:p w14:paraId="4DAFC2EC"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Sobretasa bomberil del 0,5 por mil sobre el avalúo, con implicaciones frente a actualización catastral o rezago.</w:t>
      </w:r>
    </w:p>
    <w:p w14:paraId="6AD5C128"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Sobretasa de alumbrado público del 1 por mil sobre el avalúo, con impacto en facturación que exige revisión de limitaciones.</w:t>
      </w:r>
    </w:p>
    <w:p w14:paraId="25600B2D"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t>Exclusiones/exenciones y tratamientos especiales (uso público, entidades de salud descentralizadas, Cámaras de Comercio, ESAL destinadas a bibliotecas públicas, delegaciones extranjeras, iglesias; cuerpos de bomberos, JAC, ESAL para niñez/tercera edad/rehabilitación; entidades públicas y privadas de educación) con requisitos para el beneficio.</w:t>
      </w:r>
    </w:p>
    <w:p w14:paraId="7099898C" w14:textId="77777777" w:rsidR="002A510C" w:rsidRPr="002A510C" w:rsidRDefault="002A510C" w:rsidP="002A510C">
      <w:pPr>
        <w:numPr>
          <w:ilvl w:val="0"/>
          <w:numId w:val="39"/>
        </w:numPr>
        <w:spacing w:line="360" w:lineRule="auto"/>
        <w:jc w:val="both"/>
        <w:rPr>
          <w:rFonts w:ascii="Aptos" w:hAnsi="Aptos" w:cs="Times New Roman"/>
        </w:rPr>
      </w:pPr>
      <w:r w:rsidRPr="002A510C">
        <w:rPr>
          <w:rFonts w:ascii="Aptos" w:hAnsi="Aptos" w:cs="Times New Roman"/>
        </w:rPr>
        <w:lastRenderedPageBreak/>
        <w:t>Tratamiento especial con tarifa del 5 por mil para zonas de amenaza, conservación o mitigación de riesgo, sujeto a reglamentación municipal.</w:t>
      </w:r>
    </w:p>
    <w:p w14:paraId="4D3EB5A5" w14:textId="77777777" w:rsidR="002A510C" w:rsidRPr="002A510C" w:rsidRDefault="002A510C" w:rsidP="002A510C">
      <w:pPr>
        <w:spacing w:line="360" w:lineRule="auto"/>
        <w:jc w:val="both"/>
        <w:rPr>
          <w:rFonts w:ascii="Aptos" w:hAnsi="Aptos" w:cs="Times New Roman"/>
          <w:b/>
          <w:bCs/>
          <w:sz w:val="32"/>
          <w:szCs w:val="32"/>
        </w:rPr>
      </w:pPr>
      <w:r w:rsidRPr="002A510C">
        <w:rPr>
          <w:rFonts w:ascii="Aptos" w:hAnsi="Aptos" w:cs="Times New Roman"/>
          <w:b/>
          <w:bCs/>
          <w:sz w:val="32"/>
          <w:szCs w:val="32"/>
        </w:rPr>
        <w:t>Recomendaciones</w:t>
      </w:r>
    </w:p>
    <w:p w14:paraId="79CB6975" w14:textId="77777777" w:rsidR="002A510C" w:rsidRPr="002A510C" w:rsidRDefault="002A510C" w:rsidP="002A510C">
      <w:pPr>
        <w:numPr>
          <w:ilvl w:val="0"/>
          <w:numId w:val="40"/>
        </w:numPr>
        <w:spacing w:line="360" w:lineRule="auto"/>
        <w:jc w:val="both"/>
        <w:rPr>
          <w:rFonts w:ascii="Aptos" w:hAnsi="Aptos" w:cs="Times New Roman"/>
        </w:rPr>
      </w:pPr>
      <w:r w:rsidRPr="002A510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B99AAA3" w14:textId="77777777" w:rsidR="002A510C" w:rsidRPr="002A510C" w:rsidRDefault="002A510C" w:rsidP="002A510C">
      <w:pPr>
        <w:numPr>
          <w:ilvl w:val="0"/>
          <w:numId w:val="40"/>
        </w:numPr>
        <w:spacing w:line="360" w:lineRule="auto"/>
        <w:jc w:val="both"/>
        <w:rPr>
          <w:rFonts w:ascii="Aptos" w:hAnsi="Aptos" w:cs="Times New Roman"/>
        </w:rPr>
      </w:pPr>
      <w:r w:rsidRPr="002A510C">
        <w:rPr>
          <w:rFonts w:ascii="Aptos" w:hAnsi="Aptos" w:cs="Times New Roman"/>
        </w:rPr>
        <w:t>Actualizar la matriz por destinos y corregir la referencia exclusiva a zona rural en el porcentaje ambiental del 15 %, precisando ámbito, base y procedimiento.</w:t>
      </w:r>
    </w:p>
    <w:p w14:paraId="2133EFBB" w14:textId="77777777" w:rsidR="002A510C" w:rsidRPr="002A510C" w:rsidRDefault="002A510C" w:rsidP="002A510C">
      <w:pPr>
        <w:numPr>
          <w:ilvl w:val="0"/>
          <w:numId w:val="40"/>
        </w:numPr>
        <w:spacing w:line="360" w:lineRule="auto"/>
        <w:jc w:val="both"/>
        <w:rPr>
          <w:rFonts w:ascii="Aptos" w:hAnsi="Aptos" w:cs="Times New Roman"/>
        </w:rPr>
      </w:pPr>
      <w:r w:rsidRPr="002A510C">
        <w:rPr>
          <w:rFonts w:ascii="Aptos" w:hAnsi="Aptos" w:cs="Times New Roman"/>
        </w:rPr>
        <w:t>Conciliar la sobretasa bomberil (0,5 por mil) y la sobretasa de alumbrado (1 por mil) con los límites aplicables en actualización o rezago, incorporando controles para evitar incrementos desproporcionados.</w:t>
      </w:r>
    </w:p>
    <w:p w14:paraId="60809B78" w14:textId="77777777" w:rsidR="002A510C" w:rsidRPr="002A510C" w:rsidRDefault="002A510C" w:rsidP="002A510C">
      <w:pPr>
        <w:numPr>
          <w:ilvl w:val="0"/>
          <w:numId w:val="40"/>
        </w:numPr>
        <w:spacing w:line="360" w:lineRule="auto"/>
        <w:jc w:val="both"/>
        <w:rPr>
          <w:rFonts w:ascii="Aptos" w:hAnsi="Aptos" w:cs="Times New Roman"/>
        </w:rPr>
      </w:pPr>
      <w:r w:rsidRPr="002A510C">
        <w:rPr>
          <w:rFonts w:ascii="Aptos" w:hAnsi="Aptos" w:cs="Times New Roman"/>
        </w:rPr>
        <w:t>Distinguir con claridad prohibiciones/no causaciones, exclusiones y exenciones, con requisitos, vigencias y verificación, para evitar solapamientos.</w:t>
      </w:r>
    </w:p>
    <w:p w14:paraId="40D92FD2" w14:textId="77777777" w:rsidR="002A510C" w:rsidRPr="002A510C" w:rsidRDefault="002A510C" w:rsidP="002A510C">
      <w:pPr>
        <w:numPr>
          <w:ilvl w:val="0"/>
          <w:numId w:val="40"/>
        </w:numPr>
        <w:spacing w:line="360" w:lineRule="auto"/>
        <w:jc w:val="both"/>
        <w:rPr>
          <w:rFonts w:ascii="Aptos" w:hAnsi="Aptos" w:cs="Times New Roman"/>
        </w:rPr>
      </w:pPr>
      <w:r w:rsidRPr="002A510C">
        <w:rPr>
          <w:rFonts w:ascii="Aptos" w:hAnsi="Aptos" w:cs="Times New Roman"/>
        </w:rPr>
        <w:t>Establecer límites y reglas de gradualidad por rezago y por procesos de actualización catastral, con topes y metodología documentada, atendiendo los impactos señalados en sobretasas y en la facturación.</w:t>
      </w:r>
    </w:p>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E49A" w14:textId="77777777" w:rsidR="000641E7" w:rsidRDefault="000641E7" w:rsidP="00707E60">
      <w:pPr>
        <w:spacing w:after="0" w:line="240" w:lineRule="auto"/>
      </w:pPr>
      <w:r>
        <w:separator/>
      </w:r>
    </w:p>
  </w:endnote>
  <w:endnote w:type="continuationSeparator" w:id="0">
    <w:p w14:paraId="02C77027" w14:textId="77777777" w:rsidR="000641E7" w:rsidRDefault="000641E7"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DB89" w14:textId="77777777" w:rsidR="000641E7" w:rsidRDefault="000641E7" w:rsidP="00707E60">
      <w:pPr>
        <w:spacing w:after="0" w:line="240" w:lineRule="auto"/>
      </w:pPr>
      <w:r>
        <w:separator/>
      </w:r>
    </w:p>
  </w:footnote>
  <w:footnote w:type="continuationSeparator" w:id="0">
    <w:p w14:paraId="615D15B9" w14:textId="77777777" w:rsidR="000641E7" w:rsidRDefault="000641E7"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F5A88D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2A510C">
                            <w:rPr>
                              <w:color w:val="000000" w:themeColor="text1"/>
                              <w:sz w:val="28"/>
                              <w:szCs w:val="28"/>
                            </w:rPr>
                            <w:t>Sopetrán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F5A88D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2A510C">
                      <w:rPr>
                        <w:color w:val="000000" w:themeColor="text1"/>
                        <w:sz w:val="28"/>
                        <w:szCs w:val="28"/>
                      </w:rPr>
                      <w:t>Sopetrán</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FC0CEF"/>
    <w:multiLevelType w:val="hybridMultilevel"/>
    <w:tmpl w:val="AB4C1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6C70384"/>
    <w:multiLevelType w:val="multilevel"/>
    <w:tmpl w:val="118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2B2877"/>
    <w:multiLevelType w:val="hybridMultilevel"/>
    <w:tmpl w:val="135AC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92601C"/>
    <w:multiLevelType w:val="multilevel"/>
    <w:tmpl w:val="95A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EA7D8E"/>
    <w:multiLevelType w:val="multilevel"/>
    <w:tmpl w:val="E9D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5B1FDE"/>
    <w:multiLevelType w:val="multilevel"/>
    <w:tmpl w:val="838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56292A"/>
    <w:multiLevelType w:val="multilevel"/>
    <w:tmpl w:val="D0A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4B03A6"/>
    <w:multiLevelType w:val="multilevel"/>
    <w:tmpl w:val="4B4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8"/>
  </w:num>
  <w:num w:numId="2" w16cid:durableId="1017347282">
    <w:abstractNumId w:val="16"/>
  </w:num>
  <w:num w:numId="3" w16cid:durableId="44450645">
    <w:abstractNumId w:val="29"/>
  </w:num>
  <w:num w:numId="4" w16cid:durableId="1953855267">
    <w:abstractNumId w:val="0"/>
  </w:num>
  <w:num w:numId="5" w16cid:durableId="279457733">
    <w:abstractNumId w:val="10"/>
  </w:num>
  <w:num w:numId="6" w16cid:durableId="829055416">
    <w:abstractNumId w:val="1"/>
  </w:num>
  <w:num w:numId="7" w16cid:durableId="1974747392">
    <w:abstractNumId w:val="6"/>
  </w:num>
  <w:num w:numId="8" w16cid:durableId="1342120387">
    <w:abstractNumId w:val="22"/>
  </w:num>
  <w:num w:numId="9" w16cid:durableId="350257001">
    <w:abstractNumId w:val="5"/>
  </w:num>
  <w:num w:numId="10" w16cid:durableId="1078140204">
    <w:abstractNumId w:val="11"/>
  </w:num>
  <w:num w:numId="11" w16cid:durableId="1792938771">
    <w:abstractNumId w:val="12"/>
  </w:num>
  <w:num w:numId="12" w16cid:durableId="1526560268">
    <w:abstractNumId w:val="33"/>
  </w:num>
  <w:num w:numId="13" w16cid:durableId="684139451">
    <w:abstractNumId w:val="36"/>
  </w:num>
  <w:num w:numId="14" w16cid:durableId="2066485375">
    <w:abstractNumId w:val="37"/>
  </w:num>
  <w:num w:numId="15" w16cid:durableId="1048799774">
    <w:abstractNumId w:val="4"/>
  </w:num>
  <w:num w:numId="16" w16cid:durableId="763765178">
    <w:abstractNumId w:val="18"/>
  </w:num>
  <w:num w:numId="17" w16cid:durableId="312298011">
    <w:abstractNumId w:val="27"/>
  </w:num>
  <w:num w:numId="18" w16cid:durableId="1720469911">
    <w:abstractNumId w:val="20"/>
  </w:num>
  <w:num w:numId="19" w16cid:durableId="435371494">
    <w:abstractNumId w:val="24"/>
  </w:num>
  <w:num w:numId="20" w16cid:durableId="295719448">
    <w:abstractNumId w:val="25"/>
  </w:num>
  <w:num w:numId="21" w16cid:durableId="1577745992">
    <w:abstractNumId w:val="13"/>
  </w:num>
  <w:num w:numId="22" w16cid:durableId="1267925568">
    <w:abstractNumId w:val="31"/>
  </w:num>
  <w:num w:numId="23" w16cid:durableId="1861967186">
    <w:abstractNumId w:val="7"/>
  </w:num>
  <w:num w:numId="24" w16cid:durableId="601374337">
    <w:abstractNumId w:val="32"/>
  </w:num>
  <w:num w:numId="25" w16cid:durableId="1162700760">
    <w:abstractNumId w:val="35"/>
  </w:num>
  <w:num w:numId="26" w16cid:durableId="581332385">
    <w:abstractNumId w:val="17"/>
  </w:num>
  <w:num w:numId="27" w16cid:durableId="423887808">
    <w:abstractNumId w:val="30"/>
  </w:num>
  <w:num w:numId="28" w16cid:durableId="1186863597">
    <w:abstractNumId w:val="39"/>
  </w:num>
  <w:num w:numId="29" w16cid:durableId="340359362">
    <w:abstractNumId w:val="2"/>
  </w:num>
  <w:num w:numId="30" w16cid:durableId="1619264905">
    <w:abstractNumId w:val="3"/>
  </w:num>
  <w:num w:numId="31" w16cid:durableId="97989699">
    <w:abstractNumId w:val="9"/>
  </w:num>
  <w:num w:numId="32" w16cid:durableId="55206863">
    <w:abstractNumId w:val="21"/>
  </w:num>
  <w:num w:numId="33" w16cid:durableId="1697734897">
    <w:abstractNumId w:val="19"/>
  </w:num>
  <w:num w:numId="34" w16cid:durableId="720978602">
    <w:abstractNumId w:val="14"/>
  </w:num>
  <w:num w:numId="35" w16cid:durableId="1909030509">
    <w:abstractNumId w:val="26"/>
  </w:num>
  <w:num w:numId="36" w16cid:durableId="1979188356">
    <w:abstractNumId w:val="38"/>
  </w:num>
  <w:num w:numId="37" w16cid:durableId="1274362992">
    <w:abstractNumId w:val="28"/>
  </w:num>
  <w:num w:numId="38" w16cid:durableId="208806111">
    <w:abstractNumId w:val="15"/>
  </w:num>
  <w:num w:numId="39" w16cid:durableId="180818957">
    <w:abstractNumId w:val="23"/>
  </w:num>
  <w:num w:numId="40" w16cid:durableId="6076640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641E7"/>
    <w:rsid w:val="00084B98"/>
    <w:rsid w:val="000D7615"/>
    <w:rsid w:val="00120797"/>
    <w:rsid w:val="00134527"/>
    <w:rsid w:val="001C6F8E"/>
    <w:rsid w:val="001E6E73"/>
    <w:rsid w:val="00211E44"/>
    <w:rsid w:val="00231736"/>
    <w:rsid w:val="0023618C"/>
    <w:rsid w:val="002A510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33720"/>
    <w:rsid w:val="009501F5"/>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31F2"/>
    <w:rsid w:val="00C4509C"/>
    <w:rsid w:val="00C942B0"/>
    <w:rsid w:val="00D37EF2"/>
    <w:rsid w:val="00DB14E5"/>
    <w:rsid w:val="00DD0016"/>
    <w:rsid w:val="00E20762"/>
    <w:rsid w:val="00E20840"/>
    <w:rsid w:val="00E608BE"/>
    <w:rsid w:val="00E85012"/>
    <w:rsid w:val="00F27231"/>
    <w:rsid w:val="00F65205"/>
    <w:rsid w:val="00F92AA2"/>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23</cp:revision>
  <dcterms:created xsi:type="dcterms:W3CDTF">2025-10-23T17:12:00Z</dcterms:created>
  <dcterms:modified xsi:type="dcterms:W3CDTF">2025-10-24T18:23:00Z</dcterms:modified>
</cp:coreProperties>
</file>