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5402A5E" w14:textId="77777777" w:rsidR="004107CA" w:rsidRDefault="004107CA"/>
    <w:p w14:paraId="69C464BD" w14:textId="77777777" w:rsidR="00707E60" w:rsidRDefault="00707E60"/>
    <w:p w14:paraId="7C41B434" w14:textId="77777777" w:rsidR="00707E60" w:rsidRDefault="00707E60"/>
    <w:p w14:paraId="65123F46" w14:textId="77777777" w:rsidR="00707E60" w:rsidRDefault="00707E60"/>
    <w:p w14:paraId="4234CDFE" w14:textId="77777777" w:rsidR="00707E60" w:rsidRDefault="00707E60"/>
    <w:p w14:paraId="7411AD1A" w14:textId="73CF28AB" w:rsidR="00707E60" w:rsidRDefault="00707E60"/>
    <w:p w14:paraId="33230097" w14:textId="669EDDD4" w:rsidR="00707E60" w:rsidRDefault="00707E60" w:rsidP="00707E60">
      <w:pPr>
        <w:jc w:val="center"/>
      </w:pPr>
    </w:p>
    <w:p w14:paraId="524EFE21" w14:textId="331BC161" w:rsidR="00707E60" w:rsidRDefault="00707E60" w:rsidP="00707E60">
      <w:pPr>
        <w:pStyle w:val="NoSpacing"/>
        <w:jc w:val="center"/>
        <w:rPr>
          <w:b/>
          <w:bCs/>
          <w:color w:val="002060"/>
          <w:sz w:val="56"/>
          <w:szCs w:val="56"/>
        </w:rPr>
      </w:pPr>
    </w:p>
    <w:p w14:paraId="06CCB526" w14:textId="4AD669AC" w:rsidR="00707E60" w:rsidRDefault="00707E60" w:rsidP="00707E60">
      <w:pPr>
        <w:pStyle w:val="NoSpacing"/>
        <w:jc w:val="center"/>
        <w:rPr>
          <w:b/>
          <w:bCs/>
          <w:color w:val="002060"/>
          <w:sz w:val="56"/>
          <w:szCs w:val="56"/>
        </w:rPr>
      </w:pPr>
      <w:r w:rsidRPr="001B18EF">
        <w:rPr>
          <w:noProof/>
          <w:lang w:eastAsia="es-CO"/>
        </w:rPr>
        <w:drawing>
          <wp:anchor distT="0" distB="0" distL="114300" distR="114300" simplePos="0" relativeHeight="251659264" behindDoc="0" locked="0" layoutInCell="1" allowOverlap="1" wp14:anchorId="2C40115D" wp14:editId="24C321DE">
            <wp:simplePos x="0" y="0"/>
            <wp:positionH relativeFrom="column">
              <wp:posOffset>1302151</wp:posOffset>
            </wp:positionH>
            <wp:positionV relativeFrom="paragraph">
              <wp:posOffset>166370</wp:posOffset>
            </wp:positionV>
            <wp:extent cx="3268980" cy="942975"/>
            <wp:effectExtent l="0" t="0" r="0" b="0"/>
            <wp:wrapSquare wrapText="bothSides"/>
            <wp:docPr id="719188107" name="Picture 9" descr="A black and grey logo&#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6569291" name="Picture 9" descr="A black and grey logo&#10;&#10;AI-generated content may be incorrect."/>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3268980" cy="94297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31F0E95E" w14:textId="0BCC274E" w:rsidR="00707E60" w:rsidRDefault="00707E60" w:rsidP="00707E60">
      <w:pPr>
        <w:pStyle w:val="NoSpacing"/>
        <w:jc w:val="center"/>
        <w:rPr>
          <w:b/>
          <w:bCs/>
          <w:color w:val="002060"/>
          <w:sz w:val="56"/>
          <w:szCs w:val="56"/>
        </w:rPr>
      </w:pPr>
    </w:p>
    <w:p w14:paraId="5CC9BDC5" w14:textId="2A351149" w:rsidR="00707E60" w:rsidRDefault="00707E60" w:rsidP="00707E60">
      <w:pPr>
        <w:pStyle w:val="NoSpacing"/>
        <w:jc w:val="center"/>
        <w:rPr>
          <w:b/>
          <w:bCs/>
          <w:color w:val="002060"/>
          <w:sz w:val="56"/>
          <w:szCs w:val="56"/>
        </w:rPr>
      </w:pPr>
    </w:p>
    <w:p w14:paraId="54E972D6" w14:textId="77777777" w:rsidR="00DD0016" w:rsidRDefault="00DD0016" w:rsidP="00DD0016">
      <w:pPr>
        <w:pStyle w:val="NoSpacing"/>
        <w:jc w:val="center"/>
        <w:rPr>
          <w:b/>
          <w:bCs/>
          <w:color w:val="000000" w:themeColor="text1"/>
          <w:sz w:val="56"/>
          <w:szCs w:val="56"/>
        </w:rPr>
      </w:pPr>
      <w:r w:rsidRPr="00AB4389">
        <w:rPr>
          <w:b/>
          <w:bCs/>
          <w:color w:val="000000" w:themeColor="text1"/>
          <w:sz w:val="56"/>
          <w:szCs w:val="56"/>
        </w:rPr>
        <w:t>Análisis Jurídico de Estatuto Tributario</w:t>
      </w:r>
    </w:p>
    <w:p w14:paraId="68B285CD" w14:textId="77777777" w:rsidR="00707E60" w:rsidRPr="00707E60" w:rsidRDefault="00707E60" w:rsidP="00707E60">
      <w:pPr>
        <w:pStyle w:val="NoSpacing"/>
        <w:jc w:val="center"/>
        <w:rPr>
          <w:color w:val="000000" w:themeColor="text1"/>
          <w:sz w:val="72"/>
          <w:szCs w:val="72"/>
        </w:rPr>
      </w:pPr>
    </w:p>
    <w:p w14:paraId="2FE843B9" w14:textId="6782CB83" w:rsidR="00707E60" w:rsidRPr="00707E60" w:rsidRDefault="00707E60" w:rsidP="00707E60">
      <w:pPr>
        <w:pStyle w:val="NoSpacing"/>
        <w:jc w:val="center"/>
        <w:rPr>
          <w:color w:val="000000" w:themeColor="text1"/>
          <w:sz w:val="44"/>
          <w:szCs w:val="44"/>
        </w:rPr>
      </w:pPr>
      <w:r w:rsidRPr="00707E60">
        <w:rPr>
          <w:color w:val="000000" w:themeColor="text1"/>
          <w:sz w:val="44"/>
          <w:szCs w:val="44"/>
        </w:rPr>
        <w:t xml:space="preserve">Municipio: </w:t>
      </w:r>
      <w:r w:rsidR="00AA77FA">
        <w:rPr>
          <w:color w:val="000000" w:themeColor="text1"/>
          <w:sz w:val="44"/>
          <w:szCs w:val="44"/>
        </w:rPr>
        <w:t>Venecia</w:t>
      </w:r>
    </w:p>
    <w:p w14:paraId="3460615A" w14:textId="77777777" w:rsidR="00707E60" w:rsidRPr="00707E60" w:rsidRDefault="00707E60"/>
    <w:p w14:paraId="0107F43B" w14:textId="77777777" w:rsidR="00707E60" w:rsidRDefault="00707E60"/>
    <w:p w14:paraId="6154161F" w14:textId="77777777" w:rsidR="00707E60" w:rsidRDefault="00707E60"/>
    <w:p w14:paraId="7789B689" w14:textId="77777777" w:rsidR="00707E60" w:rsidRDefault="00707E60"/>
    <w:p w14:paraId="422FC476" w14:textId="77777777" w:rsidR="00707E60" w:rsidRDefault="00707E60"/>
    <w:p w14:paraId="74370256" w14:textId="77777777" w:rsidR="00707E60" w:rsidRDefault="00707E60"/>
    <w:p w14:paraId="25496B82" w14:textId="77777777" w:rsidR="00707E60" w:rsidRDefault="00707E60"/>
    <w:p w14:paraId="0E10EFE4" w14:textId="77777777" w:rsidR="00707E60" w:rsidRDefault="00707E60"/>
    <w:p w14:paraId="5C9DCB25" w14:textId="77777777" w:rsidR="00707E60" w:rsidRDefault="00707E60"/>
    <w:p w14:paraId="23CA5FCD" w14:textId="77777777" w:rsidR="00AA77FA" w:rsidRDefault="00AA77FA" w:rsidP="00AA77FA">
      <w:pPr>
        <w:rPr>
          <w:rFonts w:ascii="Aptos" w:hAnsi="Aptos" w:cs="Times New Roman"/>
        </w:rPr>
      </w:pPr>
      <w:r w:rsidRPr="00AA77FA">
        <w:rPr>
          <w:rFonts w:ascii="Aptos" w:hAnsi="Aptos" w:cs="Times New Roman"/>
        </w:rPr>
        <w:lastRenderedPageBreak/>
        <w:t>El estado actual de su normatividad tributaria se establece en el Acuerdo 31 de 2020.</w:t>
      </w:r>
    </w:p>
    <w:p w14:paraId="0029A23A" w14:textId="23F4B6AF" w:rsidR="00AA77FA" w:rsidRPr="00AA77FA" w:rsidRDefault="00AA77FA" w:rsidP="00AA77FA">
      <w:pPr>
        <w:rPr>
          <w:rFonts w:ascii="Aptos" w:hAnsi="Aptos" w:cs="Times New Roman"/>
          <w:b/>
          <w:bCs/>
          <w:sz w:val="32"/>
          <w:szCs w:val="32"/>
        </w:rPr>
      </w:pPr>
      <w:r w:rsidRPr="00AA77FA">
        <w:rPr>
          <w:rFonts w:ascii="Aptos" w:hAnsi="Aptos" w:cs="Times New Roman"/>
          <w:b/>
          <w:bCs/>
          <w:sz w:val="32"/>
          <w:szCs w:val="32"/>
        </w:rPr>
        <w:t>Hallazgos</w:t>
      </w:r>
    </w:p>
    <w:p w14:paraId="25CA09B3" w14:textId="77777777" w:rsidR="00AA77FA" w:rsidRPr="00AA77FA" w:rsidRDefault="00AA77FA" w:rsidP="00AA77FA">
      <w:pPr>
        <w:pStyle w:val="ListParagraph"/>
        <w:widowControl w:val="0"/>
        <w:numPr>
          <w:ilvl w:val="0"/>
          <w:numId w:val="5"/>
        </w:numPr>
        <w:spacing w:after="0" w:line="240" w:lineRule="auto"/>
        <w:contextualSpacing w:val="0"/>
        <w:jc w:val="both"/>
        <w:rPr>
          <w:rFonts w:ascii="Aptos" w:hAnsi="Aptos" w:cs="Times New Roman"/>
        </w:rPr>
      </w:pPr>
      <w:r w:rsidRPr="00AA77FA">
        <w:rPr>
          <w:rFonts w:ascii="Aptos" w:hAnsi="Aptos" w:cs="Times New Roman"/>
        </w:rPr>
        <w:t>La tabla de destinos económicos no contempla las modificaciones introducidas por la Resolución 2025060163216 del 14 de marzo de 2025, en la que se redefinen los destinos económicos en los municipios del departamento de Antioquia conforme al modelo LADM-COL versión 4.1. Esta omisión implica un riesgo fiscal por no contar con tarifas para los nuevos destinos; el Municipio podría perder recursos por ausencia de un elemento esencial del tributo.</w:t>
      </w:r>
    </w:p>
    <w:p w14:paraId="52E2E3C7" w14:textId="77777777" w:rsidR="00AA77FA" w:rsidRPr="00AA77FA" w:rsidRDefault="00AA77FA" w:rsidP="00AA77FA">
      <w:pPr>
        <w:pStyle w:val="ListParagraph"/>
        <w:rPr>
          <w:rFonts w:ascii="Aptos" w:hAnsi="Aptos" w:cs="Times New Roman"/>
        </w:rPr>
      </w:pPr>
    </w:p>
    <w:p w14:paraId="65493BA2" w14:textId="77777777" w:rsidR="00AA77FA" w:rsidRPr="00AA77FA" w:rsidRDefault="00AA77FA" w:rsidP="00AA77FA">
      <w:pPr>
        <w:pStyle w:val="ListParagraph"/>
        <w:widowControl w:val="0"/>
        <w:numPr>
          <w:ilvl w:val="0"/>
          <w:numId w:val="5"/>
        </w:numPr>
        <w:spacing w:after="0" w:line="240" w:lineRule="auto"/>
        <w:contextualSpacing w:val="0"/>
        <w:jc w:val="both"/>
        <w:rPr>
          <w:rFonts w:ascii="Aptos" w:hAnsi="Aptos" w:cs="Times New Roman"/>
        </w:rPr>
      </w:pPr>
      <w:r w:rsidRPr="00AA77FA">
        <w:rPr>
          <w:rFonts w:ascii="Aptos" w:hAnsi="Aptos" w:cs="Times New Roman"/>
        </w:rPr>
        <w:t xml:space="preserve">Se consagran autorización legal, carácter real del impuesto, definición de avalúo y elementos del tributo a partir del artículo 13. La matriz tarifaria combina destinos económicos y rangos de avalúo, con tarifas entre 5×1.000 y 25×1.000; requiere actualización integral para asegurar coherencia entre destino, rango y </w:t>
      </w:r>
      <w:proofErr w:type="spellStart"/>
      <w:r w:rsidRPr="00AA77FA">
        <w:rPr>
          <w:rFonts w:ascii="Aptos" w:hAnsi="Aptos" w:cs="Times New Roman"/>
        </w:rPr>
        <w:t>milaje</w:t>
      </w:r>
      <w:proofErr w:type="spellEnd"/>
      <w:r w:rsidRPr="00AA77FA">
        <w:rPr>
          <w:rFonts w:ascii="Aptos" w:hAnsi="Aptos" w:cs="Times New Roman"/>
        </w:rPr>
        <w:t xml:space="preserve"> aplicable.</w:t>
      </w:r>
    </w:p>
    <w:p w14:paraId="458196BC" w14:textId="77777777" w:rsidR="00AA77FA" w:rsidRPr="00AA77FA" w:rsidRDefault="00AA77FA" w:rsidP="00AA77FA">
      <w:pPr>
        <w:pStyle w:val="ListParagraph"/>
        <w:rPr>
          <w:rFonts w:ascii="Aptos" w:hAnsi="Aptos" w:cs="Times New Roman"/>
        </w:rPr>
      </w:pPr>
    </w:p>
    <w:p w14:paraId="17807ED2" w14:textId="77777777" w:rsidR="00AA77FA" w:rsidRPr="00AA77FA" w:rsidRDefault="00AA77FA" w:rsidP="00AA77FA">
      <w:pPr>
        <w:pStyle w:val="ListParagraph"/>
        <w:widowControl w:val="0"/>
        <w:numPr>
          <w:ilvl w:val="0"/>
          <w:numId w:val="5"/>
        </w:numPr>
        <w:spacing w:after="0" w:line="240" w:lineRule="auto"/>
        <w:contextualSpacing w:val="0"/>
        <w:jc w:val="both"/>
        <w:rPr>
          <w:rFonts w:ascii="Aptos" w:hAnsi="Aptos" w:cs="Times New Roman"/>
        </w:rPr>
      </w:pPr>
      <w:r w:rsidRPr="00AA77FA">
        <w:rPr>
          <w:rFonts w:ascii="Aptos" w:hAnsi="Aptos" w:cs="Times New Roman"/>
        </w:rPr>
        <w:t xml:space="preserve">La referencia operativa a la Resolución 070 de 2011 debe sustituirse por el marco técnico vigente de catastro multipropósito (Resolución 1040 de 2023), incluidos procedimientos de aprobación/verificación del </w:t>
      </w:r>
      <w:proofErr w:type="spellStart"/>
      <w:r w:rsidRPr="00AA77FA">
        <w:rPr>
          <w:rFonts w:ascii="Aptos" w:hAnsi="Aptos" w:cs="Times New Roman"/>
        </w:rPr>
        <w:t>autoavalúo</w:t>
      </w:r>
      <w:proofErr w:type="spellEnd"/>
      <w:r w:rsidRPr="00AA77FA">
        <w:rPr>
          <w:rFonts w:ascii="Aptos" w:hAnsi="Aptos" w:cs="Times New Roman"/>
        </w:rPr>
        <w:t>, manejo de mutaciones y clasificaciones.</w:t>
      </w:r>
    </w:p>
    <w:p w14:paraId="378DED92" w14:textId="77777777" w:rsidR="00AA77FA" w:rsidRPr="00AA77FA" w:rsidRDefault="00AA77FA" w:rsidP="00AA77FA">
      <w:pPr>
        <w:rPr>
          <w:rFonts w:ascii="Aptos" w:hAnsi="Aptos" w:cs="Times New Roman"/>
        </w:rPr>
      </w:pPr>
    </w:p>
    <w:p w14:paraId="5ADFC51E" w14:textId="77777777" w:rsidR="00AA77FA" w:rsidRPr="00AA77FA" w:rsidRDefault="00AA77FA" w:rsidP="00AA77FA">
      <w:pPr>
        <w:pStyle w:val="ListParagraph"/>
        <w:widowControl w:val="0"/>
        <w:numPr>
          <w:ilvl w:val="0"/>
          <w:numId w:val="5"/>
        </w:numPr>
        <w:spacing w:after="0" w:line="240" w:lineRule="auto"/>
        <w:contextualSpacing w:val="0"/>
        <w:jc w:val="both"/>
        <w:rPr>
          <w:rFonts w:ascii="Aptos" w:hAnsi="Aptos" w:cs="Times New Roman"/>
        </w:rPr>
      </w:pPr>
      <w:r w:rsidRPr="00AA77FA">
        <w:rPr>
          <w:rFonts w:ascii="Aptos" w:hAnsi="Aptos" w:cs="Times New Roman"/>
        </w:rPr>
        <w:t>La regla según la cual, si un predio se divide entre perímetro urbano y rural “se inscribirá como urbano” según la mayor extensión, puede conducir a liquidaciones que desconozcan tratamientos diferenciados. En predios con áreas en ambos perímetros, lo técnicamente deseable es liquidar por componente o aplicar criterio de predominio con regla clara de usos mixtos y distribución de áreas certificada.</w:t>
      </w:r>
      <w:r w:rsidRPr="00AA77FA">
        <w:rPr>
          <w:rFonts w:ascii="Aptos" w:hAnsi="Aptos" w:cs="Times New Roman"/>
        </w:rPr>
        <w:br/>
      </w:r>
    </w:p>
    <w:p w14:paraId="5599E9E3" w14:textId="77777777" w:rsidR="00AA77FA" w:rsidRPr="00AA77FA" w:rsidRDefault="00AA77FA" w:rsidP="00AA77FA">
      <w:pPr>
        <w:pStyle w:val="ListParagraph"/>
        <w:widowControl w:val="0"/>
        <w:numPr>
          <w:ilvl w:val="0"/>
          <w:numId w:val="5"/>
        </w:numPr>
        <w:spacing w:after="0" w:line="240" w:lineRule="auto"/>
        <w:contextualSpacing w:val="0"/>
        <w:jc w:val="both"/>
        <w:rPr>
          <w:rFonts w:ascii="Aptos" w:hAnsi="Aptos" w:cs="Times New Roman"/>
        </w:rPr>
      </w:pPr>
      <w:r w:rsidRPr="00AA77FA">
        <w:rPr>
          <w:rFonts w:ascii="Aptos" w:hAnsi="Aptos" w:cs="Times New Roman"/>
        </w:rPr>
        <w:t xml:space="preserve">Se prevé una tarifa más alta como “sanción” para edificaciones levantadas por fuera de los destinos del POT. La imposición de un </w:t>
      </w:r>
      <w:proofErr w:type="spellStart"/>
      <w:r w:rsidRPr="00AA77FA">
        <w:rPr>
          <w:rFonts w:ascii="Aptos" w:hAnsi="Aptos" w:cs="Times New Roman"/>
        </w:rPr>
        <w:t>milaje</w:t>
      </w:r>
      <w:proofErr w:type="spellEnd"/>
      <w:r w:rsidRPr="00AA77FA">
        <w:rPr>
          <w:rFonts w:ascii="Aptos" w:hAnsi="Aptos" w:cs="Times New Roman"/>
        </w:rPr>
        <w:t xml:space="preserve"> punitivo no se ajusta a la técnica del IPU; las consecuencias por infracciones urbanísticas deben tramitarse en la jurisdicción y régimen sancionatorio urbanístico, no por vía de tarifa predial.</w:t>
      </w:r>
      <w:r w:rsidRPr="00AA77FA">
        <w:rPr>
          <w:rFonts w:ascii="Aptos" w:hAnsi="Aptos" w:cs="Times New Roman"/>
        </w:rPr>
        <w:br/>
      </w:r>
    </w:p>
    <w:p w14:paraId="0CAE8914" w14:textId="77777777" w:rsidR="00AA77FA" w:rsidRPr="00AA77FA" w:rsidRDefault="00AA77FA" w:rsidP="00AA77FA">
      <w:pPr>
        <w:pStyle w:val="ListParagraph"/>
        <w:widowControl w:val="0"/>
        <w:numPr>
          <w:ilvl w:val="0"/>
          <w:numId w:val="5"/>
        </w:numPr>
        <w:spacing w:after="0" w:line="240" w:lineRule="auto"/>
        <w:contextualSpacing w:val="0"/>
        <w:jc w:val="both"/>
        <w:rPr>
          <w:rFonts w:ascii="Aptos" w:hAnsi="Aptos" w:cs="Times New Roman"/>
        </w:rPr>
      </w:pPr>
      <w:r w:rsidRPr="00AA77FA">
        <w:rPr>
          <w:rFonts w:ascii="Aptos" w:hAnsi="Aptos" w:cs="Times New Roman"/>
        </w:rPr>
        <w:t>Se regulan “compensaciones” por áreas de retiro obligatorio de vías públicas (mediciones de 20 m desde eje de calzada exterior y 30 m a cada lado). Debe verificarse si esta disposición se aplica hoy, cómo se acredita la afectación y cuál es su efecto fiscal (p. ej., exclusión, exención, descuento proporcional o simple anotación catastral) para evitar tratamientos discrecionales.</w:t>
      </w:r>
    </w:p>
    <w:p w14:paraId="1ECD6F0D" w14:textId="77777777" w:rsidR="00AA77FA" w:rsidRPr="00AA77FA" w:rsidRDefault="00AA77FA" w:rsidP="00AA77FA">
      <w:pPr>
        <w:pStyle w:val="ListParagraph"/>
        <w:rPr>
          <w:rFonts w:ascii="Aptos" w:hAnsi="Aptos" w:cs="Times New Roman"/>
        </w:rPr>
      </w:pPr>
    </w:p>
    <w:p w14:paraId="4A2A14B2" w14:textId="77777777" w:rsidR="00AA77FA" w:rsidRPr="00AA77FA" w:rsidRDefault="00AA77FA" w:rsidP="00AA77FA">
      <w:pPr>
        <w:pStyle w:val="ListParagraph"/>
        <w:widowControl w:val="0"/>
        <w:numPr>
          <w:ilvl w:val="0"/>
          <w:numId w:val="5"/>
        </w:numPr>
        <w:spacing w:after="0" w:line="240" w:lineRule="auto"/>
        <w:contextualSpacing w:val="0"/>
        <w:jc w:val="both"/>
        <w:rPr>
          <w:rFonts w:ascii="Aptos" w:hAnsi="Aptos" w:cs="Times New Roman"/>
        </w:rPr>
      </w:pPr>
      <w:r w:rsidRPr="00AA77FA">
        <w:rPr>
          <w:rFonts w:ascii="Aptos" w:hAnsi="Aptos" w:cs="Times New Roman"/>
        </w:rPr>
        <w:t>Se listan inmuebles excluidos/prohibidos de gravamen junto con exenciones (iglesias, bienes públicos y de uso público, monumentos, JAC, comandos de policía, Defensa Civil, Bomberos, bienes fiscales, escuelas, centros de salud, sedes administrativas; además, áreas de conservación y predios de CAR). La mezcla de exclusión y exención sin criterios operativos unívocos genera ambigüedad sobre prueba, vigencia y prelación cuando concurren varios alivios.</w:t>
      </w:r>
    </w:p>
    <w:p w14:paraId="4B68DBBC" w14:textId="77777777" w:rsidR="00AA77FA" w:rsidRPr="00AA77FA" w:rsidRDefault="00AA77FA" w:rsidP="00AA77FA">
      <w:pPr>
        <w:pStyle w:val="ListParagraph"/>
        <w:rPr>
          <w:rFonts w:ascii="Aptos" w:hAnsi="Aptos" w:cs="Times New Roman"/>
        </w:rPr>
      </w:pPr>
    </w:p>
    <w:p w14:paraId="10C2AACB" w14:textId="77777777" w:rsidR="00AA77FA" w:rsidRPr="00AA77FA" w:rsidRDefault="00AA77FA" w:rsidP="00AA77FA">
      <w:pPr>
        <w:pStyle w:val="ListParagraph"/>
        <w:widowControl w:val="0"/>
        <w:numPr>
          <w:ilvl w:val="0"/>
          <w:numId w:val="5"/>
        </w:numPr>
        <w:spacing w:after="0" w:line="240" w:lineRule="auto"/>
        <w:contextualSpacing w:val="0"/>
        <w:jc w:val="both"/>
        <w:rPr>
          <w:rFonts w:ascii="Aptos" w:hAnsi="Aptos" w:cs="Times New Roman"/>
        </w:rPr>
      </w:pPr>
      <w:r w:rsidRPr="00AA77FA">
        <w:rPr>
          <w:rFonts w:ascii="Aptos" w:hAnsi="Aptos" w:cs="Times New Roman"/>
        </w:rPr>
        <w:t xml:space="preserve">Determinación oficial vía factura con delegación al Alcalde para su reglamentación; pago trimestral y descuento por pronto pago del 10 % dentro del primer trimestre. Conviene </w:t>
      </w:r>
      <w:r w:rsidRPr="00AA77FA">
        <w:rPr>
          <w:rFonts w:ascii="Aptos" w:hAnsi="Aptos" w:cs="Times New Roman"/>
        </w:rPr>
        <w:lastRenderedPageBreak/>
        <w:t>precisar el contenido mínimo de la factura, la forma de notificación (física/electrónica) y los recursos, para conferir pleno mérito ejecutivo sin litigiosidad.</w:t>
      </w:r>
    </w:p>
    <w:p w14:paraId="171EEC04" w14:textId="77777777" w:rsidR="00AA77FA" w:rsidRPr="00AA77FA" w:rsidRDefault="00AA77FA" w:rsidP="00AA77FA">
      <w:pPr>
        <w:pStyle w:val="ListParagraph"/>
        <w:rPr>
          <w:rFonts w:ascii="Aptos" w:hAnsi="Aptos" w:cs="Times New Roman"/>
        </w:rPr>
      </w:pPr>
    </w:p>
    <w:p w14:paraId="185106C2" w14:textId="77777777" w:rsidR="00AA77FA" w:rsidRPr="00AA77FA" w:rsidRDefault="00AA77FA" w:rsidP="00AA77FA">
      <w:pPr>
        <w:pStyle w:val="ListParagraph"/>
        <w:widowControl w:val="0"/>
        <w:numPr>
          <w:ilvl w:val="0"/>
          <w:numId w:val="5"/>
        </w:numPr>
        <w:spacing w:after="0" w:line="240" w:lineRule="auto"/>
        <w:contextualSpacing w:val="0"/>
        <w:jc w:val="both"/>
        <w:rPr>
          <w:rFonts w:ascii="Aptos" w:hAnsi="Aptos" w:cs="Times New Roman"/>
        </w:rPr>
      </w:pPr>
      <w:r w:rsidRPr="00AA77FA">
        <w:rPr>
          <w:rFonts w:ascii="Aptos" w:hAnsi="Aptos" w:cs="Times New Roman"/>
        </w:rPr>
        <w:t>Límites del impuesto conforme a la Ley 1995 de 2019; no se regulan límites por rezago catastral ni una transición por etapas, lo que puede causar variaciones abruptas entre vigencias y decisiones heterogéneas de aplicación.</w:t>
      </w:r>
    </w:p>
    <w:p w14:paraId="777D07E1" w14:textId="77777777" w:rsidR="00AA77FA" w:rsidRPr="00AA77FA" w:rsidRDefault="00AA77FA" w:rsidP="00AA77FA">
      <w:pPr>
        <w:pStyle w:val="ListParagraph"/>
        <w:rPr>
          <w:rFonts w:ascii="Aptos" w:hAnsi="Aptos" w:cs="Times New Roman"/>
        </w:rPr>
      </w:pPr>
    </w:p>
    <w:p w14:paraId="12A446EA" w14:textId="77777777" w:rsidR="00AA77FA" w:rsidRPr="00AA77FA" w:rsidRDefault="00AA77FA" w:rsidP="00AA77FA">
      <w:pPr>
        <w:pStyle w:val="ListParagraph"/>
        <w:widowControl w:val="0"/>
        <w:numPr>
          <w:ilvl w:val="0"/>
          <w:numId w:val="5"/>
        </w:numPr>
        <w:spacing w:after="0" w:line="240" w:lineRule="auto"/>
        <w:contextualSpacing w:val="0"/>
        <w:jc w:val="both"/>
        <w:rPr>
          <w:rFonts w:ascii="Aptos" w:hAnsi="Aptos" w:cs="Times New Roman"/>
        </w:rPr>
      </w:pPr>
      <w:r w:rsidRPr="00AA77FA">
        <w:rPr>
          <w:rFonts w:ascii="Aptos" w:hAnsi="Aptos" w:cs="Times New Roman"/>
        </w:rPr>
        <w:t>Se reconoce tratamiento especial de 5×1.000 para ciertos predios (entidades sindicales y JAC, ONG no explotadas comercialmente, conservación histórica/artística/arquitectónica, educación sin ánimo de lucro, seguridad y orden público). Deben precisarse requisitos documentales, autoridad certificadora, vigencia, pérdida del beneficio y control posterior.</w:t>
      </w:r>
    </w:p>
    <w:p w14:paraId="4341425E" w14:textId="77777777" w:rsidR="00AA77FA" w:rsidRPr="00AA77FA" w:rsidRDefault="00AA77FA" w:rsidP="00AA77FA">
      <w:pPr>
        <w:pStyle w:val="ListParagraph"/>
        <w:rPr>
          <w:rFonts w:ascii="Aptos" w:hAnsi="Aptos" w:cs="Times New Roman"/>
        </w:rPr>
      </w:pPr>
    </w:p>
    <w:p w14:paraId="2F1E6D0E" w14:textId="2CEF01DB" w:rsidR="00AA77FA" w:rsidRPr="00B429CF" w:rsidRDefault="00AA77FA" w:rsidP="00B429CF">
      <w:pPr>
        <w:pStyle w:val="ListParagraph"/>
        <w:widowControl w:val="0"/>
        <w:numPr>
          <w:ilvl w:val="0"/>
          <w:numId w:val="5"/>
        </w:numPr>
        <w:spacing w:after="0" w:line="240" w:lineRule="auto"/>
        <w:contextualSpacing w:val="0"/>
        <w:jc w:val="both"/>
        <w:rPr>
          <w:rFonts w:ascii="Aptos" w:hAnsi="Aptos" w:cs="Times New Roman"/>
        </w:rPr>
      </w:pPr>
      <w:r w:rsidRPr="00AA77FA">
        <w:rPr>
          <w:rFonts w:ascii="Aptos" w:hAnsi="Aptos" w:cs="Times New Roman"/>
        </w:rPr>
        <w:t>La sobretasa bomberil se ata al ingreso del IPU (y no al avalúo); al estar vinculada al IPU, su variación queda afectada por los límites del IPU y requiere reglas explícitas de orden de cálculo y giros.</w:t>
      </w:r>
      <w:r w:rsidRPr="00AA77FA">
        <w:rPr>
          <w:rFonts w:ascii="Aptos" w:hAnsi="Aptos" w:cs="Times New Roman"/>
        </w:rPr>
        <w:br/>
      </w:r>
    </w:p>
    <w:p w14:paraId="3D4A8302" w14:textId="77777777" w:rsidR="00AA77FA" w:rsidRPr="00AA77FA" w:rsidRDefault="00AA77FA" w:rsidP="00AA77FA">
      <w:pPr>
        <w:pStyle w:val="ListParagraph"/>
        <w:widowControl w:val="0"/>
        <w:numPr>
          <w:ilvl w:val="0"/>
          <w:numId w:val="5"/>
        </w:numPr>
        <w:spacing w:after="0" w:line="240" w:lineRule="auto"/>
        <w:contextualSpacing w:val="0"/>
        <w:jc w:val="both"/>
        <w:rPr>
          <w:rFonts w:ascii="Aptos" w:hAnsi="Aptos" w:cs="Times New Roman"/>
        </w:rPr>
      </w:pPr>
      <w:r w:rsidRPr="00AA77FA">
        <w:rPr>
          <w:rFonts w:ascii="Aptos" w:hAnsi="Aptos" w:cs="Times New Roman"/>
        </w:rPr>
        <w:t>Alumbrado público: se fija una sobretasa “sobre el avalúo catastral”.</w:t>
      </w:r>
    </w:p>
    <w:p w14:paraId="6E90C428" w14:textId="77777777" w:rsidR="00AA77FA" w:rsidRPr="00AA77FA" w:rsidRDefault="00AA77FA" w:rsidP="00AA77FA">
      <w:pPr>
        <w:pStyle w:val="ListParagraph"/>
        <w:rPr>
          <w:rFonts w:ascii="Aptos" w:hAnsi="Aptos" w:cs="Times New Roman"/>
        </w:rPr>
      </w:pPr>
    </w:p>
    <w:p w14:paraId="42C229F8" w14:textId="77777777" w:rsidR="00AA77FA" w:rsidRPr="00AA77FA" w:rsidRDefault="00AA77FA" w:rsidP="00AA77FA">
      <w:pPr>
        <w:jc w:val="both"/>
        <w:rPr>
          <w:rFonts w:ascii="Aptos" w:hAnsi="Aptos" w:cs="Times New Roman"/>
          <w:sz w:val="32"/>
          <w:szCs w:val="32"/>
        </w:rPr>
      </w:pPr>
      <w:r w:rsidRPr="00AA77FA">
        <w:rPr>
          <w:rFonts w:ascii="Aptos" w:hAnsi="Aptos" w:cs="Times New Roman"/>
          <w:b/>
          <w:bCs/>
          <w:sz w:val="32"/>
          <w:szCs w:val="32"/>
        </w:rPr>
        <w:t>Recomendaciones</w:t>
      </w:r>
    </w:p>
    <w:p w14:paraId="2DD0D71A" w14:textId="77777777" w:rsidR="00AA77FA" w:rsidRPr="00AA77FA" w:rsidRDefault="00AA77FA" w:rsidP="00AA77FA">
      <w:pPr>
        <w:pStyle w:val="ListParagraph"/>
        <w:widowControl w:val="0"/>
        <w:numPr>
          <w:ilvl w:val="0"/>
          <w:numId w:val="6"/>
        </w:numPr>
        <w:spacing w:after="0" w:line="240" w:lineRule="auto"/>
        <w:contextualSpacing w:val="0"/>
        <w:jc w:val="both"/>
        <w:rPr>
          <w:rFonts w:ascii="Aptos" w:hAnsi="Aptos" w:cs="Times New Roman"/>
        </w:rPr>
      </w:pPr>
      <w:r w:rsidRPr="00AA77FA">
        <w:rPr>
          <w:rFonts w:ascii="Aptos" w:hAnsi="Aptos" w:cs="Times New Roman"/>
        </w:rPr>
        <w:t>Adelantar un proceso de actualización normativa que le permita armonizar su regulación con las disposiciones nacionales más recientes. En particular, resulta prioritario adoptar los lineamientos de la Resolución 1040 de 2023 en materia de catastro, así como actualizar la tabla de destinos económicos conforme a la Resolución 2025060163216. Esto garantizará que todos los destinos contemplados en el modelo LADM-COL versión 4.1 cuenten con una tarifa definida, evitando la pérdida de ingresos fiscales.</w:t>
      </w:r>
    </w:p>
    <w:p w14:paraId="3FD8C947" w14:textId="77777777" w:rsidR="00AA77FA" w:rsidRPr="00AA77FA" w:rsidRDefault="00AA77FA" w:rsidP="00AA77FA">
      <w:pPr>
        <w:pStyle w:val="ListParagraph"/>
        <w:rPr>
          <w:rFonts w:ascii="Aptos" w:hAnsi="Aptos" w:cs="Times New Roman"/>
        </w:rPr>
      </w:pPr>
    </w:p>
    <w:p w14:paraId="7AAE718C" w14:textId="77777777" w:rsidR="00AA77FA" w:rsidRPr="00AA77FA" w:rsidRDefault="00AA77FA" w:rsidP="00AA77FA">
      <w:pPr>
        <w:pStyle w:val="ListParagraph"/>
        <w:widowControl w:val="0"/>
        <w:numPr>
          <w:ilvl w:val="0"/>
          <w:numId w:val="6"/>
        </w:numPr>
        <w:spacing w:after="0" w:line="240" w:lineRule="auto"/>
        <w:contextualSpacing w:val="0"/>
        <w:jc w:val="both"/>
        <w:rPr>
          <w:rFonts w:ascii="Aptos" w:hAnsi="Aptos" w:cs="Times New Roman"/>
        </w:rPr>
      </w:pPr>
      <w:r w:rsidRPr="00AA77FA">
        <w:rPr>
          <w:rFonts w:ascii="Aptos" w:hAnsi="Aptos" w:cs="Times New Roman"/>
        </w:rPr>
        <w:t>Reestructurar la matriz tarifaria para reflejar con precisión el destino y, cuando proceda, los rangos de avalúo.</w:t>
      </w:r>
    </w:p>
    <w:p w14:paraId="1146F003" w14:textId="77777777" w:rsidR="00AA77FA" w:rsidRPr="00AA77FA" w:rsidRDefault="00AA77FA" w:rsidP="00AA77FA">
      <w:pPr>
        <w:pStyle w:val="ListParagraph"/>
        <w:rPr>
          <w:rFonts w:ascii="Aptos" w:hAnsi="Aptos" w:cs="Times New Roman"/>
        </w:rPr>
      </w:pPr>
    </w:p>
    <w:p w14:paraId="697268FF" w14:textId="77777777" w:rsidR="00AA77FA" w:rsidRPr="00AA77FA" w:rsidRDefault="00AA77FA" w:rsidP="00AA77FA">
      <w:pPr>
        <w:pStyle w:val="ListParagraph"/>
        <w:widowControl w:val="0"/>
        <w:numPr>
          <w:ilvl w:val="0"/>
          <w:numId w:val="6"/>
        </w:numPr>
        <w:spacing w:after="0" w:line="240" w:lineRule="auto"/>
        <w:contextualSpacing w:val="0"/>
        <w:jc w:val="both"/>
        <w:rPr>
          <w:rFonts w:ascii="Aptos" w:hAnsi="Aptos" w:cs="Times New Roman"/>
        </w:rPr>
      </w:pPr>
      <w:r w:rsidRPr="00AA77FA">
        <w:rPr>
          <w:rFonts w:ascii="Aptos" w:hAnsi="Aptos" w:cs="Times New Roman"/>
        </w:rPr>
        <w:t xml:space="preserve">Sustituir remisiones a la Resolución 070 de 2011 por la Resolución 1040 de 2023; ordenar procedimientos de </w:t>
      </w:r>
      <w:proofErr w:type="spellStart"/>
      <w:r w:rsidRPr="00AA77FA">
        <w:rPr>
          <w:rFonts w:ascii="Aptos" w:hAnsi="Aptos" w:cs="Times New Roman"/>
        </w:rPr>
        <w:t>autoavalúo</w:t>
      </w:r>
      <w:proofErr w:type="spellEnd"/>
      <w:r w:rsidRPr="00AA77FA">
        <w:rPr>
          <w:rFonts w:ascii="Aptos" w:hAnsi="Aptos" w:cs="Times New Roman"/>
        </w:rPr>
        <w:t>, mutaciones, aprobación y verificación, y publicar instructivos operativos.</w:t>
      </w:r>
    </w:p>
    <w:p w14:paraId="6532EA88" w14:textId="77777777" w:rsidR="00AA77FA" w:rsidRPr="00AA77FA" w:rsidRDefault="00AA77FA" w:rsidP="00AA77FA">
      <w:pPr>
        <w:pStyle w:val="ListParagraph"/>
        <w:rPr>
          <w:rFonts w:ascii="Aptos" w:hAnsi="Aptos" w:cs="Times New Roman"/>
        </w:rPr>
      </w:pPr>
    </w:p>
    <w:p w14:paraId="6D5C52D2" w14:textId="77777777" w:rsidR="00AA77FA" w:rsidRPr="00AA77FA" w:rsidRDefault="00AA77FA" w:rsidP="00AA77FA">
      <w:pPr>
        <w:pStyle w:val="ListParagraph"/>
        <w:widowControl w:val="0"/>
        <w:numPr>
          <w:ilvl w:val="0"/>
          <w:numId w:val="6"/>
        </w:numPr>
        <w:spacing w:after="0" w:line="240" w:lineRule="auto"/>
        <w:contextualSpacing w:val="0"/>
        <w:jc w:val="both"/>
        <w:rPr>
          <w:rFonts w:ascii="Aptos" w:hAnsi="Aptos" w:cs="Times New Roman"/>
        </w:rPr>
      </w:pPr>
      <w:r w:rsidRPr="00AA77FA">
        <w:rPr>
          <w:rFonts w:ascii="Aptos" w:hAnsi="Aptos" w:cs="Times New Roman"/>
        </w:rPr>
        <w:t>Derogar la “sanción por tarifa” para edificaciones en contravención urbanística y canalizar las infracciones al régimen sancionatorio urbanístico; conservar en el IPU únicamente tarifas técnico-fiscales.</w:t>
      </w:r>
    </w:p>
    <w:p w14:paraId="09E24651" w14:textId="77777777" w:rsidR="00AA77FA" w:rsidRPr="00AA77FA" w:rsidRDefault="00AA77FA" w:rsidP="00AA77FA">
      <w:pPr>
        <w:pStyle w:val="ListParagraph"/>
        <w:rPr>
          <w:rFonts w:ascii="Aptos" w:hAnsi="Aptos" w:cs="Times New Roman"/>
        </w:rPr>
      </w:pPr>
    </w:p>
    <w:p w14:paraId="48B046D9" w14:textId="77777777" w:rsidR="00AA77FA" w:rsidRPr="00AA77FA" w:rsidRDefault="00AA77FA" w:rsidP="00AA77FA">
      <w:pPr>
        <w:pStyle w:val="ListParagraph"/>
        <w:widowControl w:val="0"/>
        <w:numPr>
          <w:ilvl w:val="0"/>
          <w:numId w:val="6"/>
        </w:numPr>
        <w:spacing w:after="0" w:line="240" w:lineRule="auto"/>
        <w:contextualSpacing w:val="0"/>
        <w:jc w:val="both"/>
        <w:rPr>
          <w:rFonts w:ascii="Aptos" w:hAnsi="Aptos" w:cs="Times New Roman"/>
        </w:rPr>
      </w:pPr>
      <w:r w:rsidRPr="00AA77FA">
        <w:rPr>
          <w:rFonts w:ascii="Aptos" w:hAnsi="Aptos" w:cs="Times New Roman"/>
        </w:rPr>
        <w:t>Definir con claridad el tratamiento de áreas de retiro y afectaciones viales: naturaleza del alivio e impacto fiscal de la adopción de la medida.</w:t>
      </w:r>
    </w:p>
    <w:p w14:paraId="2D9AE03B" w14:textId="77777777" w:rsidR="00AA77FA" w:rsidRPr="00AA77FA" w:rsidRDefault="00AA77FA" w:rsidP="00AA77FA">
      <w:pPr>
        <w:pStyle w:val="ListParagraph"/>
        <w:rPr>
          <w:rFonts w:ascii="Aptos" w:hAnsi="Aptos" w:cs="Times New Roman"/>
        </w:rPr>
      </w:pPr>
    </w:p>
    <w:p w14:paraId="2998F267" w14:textId="77777777" w:rsidR="00AA77FA" w:rsidRPr="00AA77FA" w:rsidRDefault="00AA77FA" w:rsidP="00AA77FA">
      <w:pPr>
        <w:pStyle w:val="ListParagraph"/>
        <w:widowControl w:val="0"/>
        <w:numPr>
          <w:ilvl w:val="0"/>
          <w:numId w:val="6"/>
        </w:numPr>
        <w:spacing w:after="0" w:line="240" w:lineRule="auto"/>
        <w:contextualSpacing w:val="0"/>
        <w:jc w:val="both"/>
        <w:rPr>
          <w:rFonts w:ascii="Aptos" w:hAnsi="Aptos" w:cs="Times New Roman"/>
        </w:rPr>
      </w:pPr>
      <w:r w:rsidRPr="00AA77FA">
        <w:rPr>
          <w:rFonts w:ascii="Aptos" w:hAnsi="Aptos" w:cs="Times New Roman"/>
        </w:rPr>
        <w:t>Reorganizar las exclusiones y exenciones, su procedimiento y requisitos de acceso.</w:t>
      </w:r>
    </w:p>
    <w:p w14:paraId="6B983162" w14:textId="77777777" w:rsidR="00AA77FA" w:rsidRPr="00AA77FA" w:rsidRDefault="00AA77FA" w:rsidP="00AA77FA">
      <w:pPr>
        <w:pStyle w:val="ListParagraph"/>
        <w:rPr>
          <w:rFonts w:ascii="Aptos" w:hAnsi="Aptos" w:cs="Times New Roman"/>
        </w:rPr>
      </w:pPr>
    </w:p>
    <w:p w14:paraId="48AB5FE2" w14:textId="77777777" w:rsidR="00AA77FA" w:rsidRPr="00AA77FA" w:rsidRDefault="00AA77FA" w:rsidP="00AA77FA">
      <w:pPr>
        <w:pStyle w:val="ListParagraph"/>
        <w:widowControl w:val="0"/>
        <w:numPr>
          <w:ilvl w:val="0"/>
          <w:numId w:val="6"/>
        </w:numPr>
        <w:spacing w:after="0" w:line="240" w:lineRule="auto"/>
        <w:contextualSpacing w:val="0"/>
        <w:jc w:val="both"/>
        <w:rPr>
          <w:rFonts w:ascii="Aptos" w:hAnsi="Aptos" w:cs="Times New Roman"/>
        </w:rPr>
      </w:pPr>
      <w:r w:rsidRPr="00AA77FA">
        <w:rPr>
          <w:rFonts w:ascii="Aptos" w:hAnsi="Aptos" w:cs="Times New Roman"/>
        </w:rPr>
        <w:t>Precisar la determinación oficial vía factura: contenido mínimo, mecanismos de notificación (incluida electrónica) y recursos; publicar calendario tributario con las ventanas de pronto pago y ejemplos de liquidación.</w:t>
      </w:r>
    </w:p>
    <w:p w14:paraId="718A2E80" w14:textId="77777777" w:rsidR="00AA77FA" w:rsidRPr="00AA77FA" w:rsidRDefault="00AA77FA" w:rsidP="00AA77FA">
      <w:pPr>
        <w:pStyle w:val="ListParagraph"/>
        <w:rPr>
          <w:rFonts w:ascii="Aptos" w:hAnsi="Aptos" w:cs="Times New Roman"/>
        </w:rPr>
      </w:pPr>
    </w:p>
    <w:p w14:paraId="5D26D6B0" w14:textId="77777777" w:rsidR="00AA77FA" w:rsidRPr="00AA77FA" w:rsidRDefault="00AA77FA" w:rsidP="00AA77FA">
      <w:pPr>
        <w:pStyle w:val="ListParagraph"/>
        <w:widowControl w:val="0"/>
        <w:numPr>
          <w:ilvl w:val="0"/>
          <w:numId w:val="6"/>
        </w:numPr>
        <w:spacing w:after="0" w:line="240" w:lineRule="auto"/>
        <w:contextualSpacing w:val="0"/>
        <w:jc w:val="both"/>
        <w:rPr>
          <w:rFonts w:ascii="Aptos" w:hAnsi="Aptos" w:cs="Times New Roman"/>
        </w:rPr>
      </w:pPr>
      <w:r w:rsidRPr="00AA77FA">
        <w:rPr>
          <w:rFonts w:ascii="Aptos" w:hAnsi="Aptos" w:cs="Times New Roman"/>
        </w:rPr>
        <w:t xml:space="preserve">Incorporar reglas de rezago catastral y transición, frente a los límites de la Ley 1995 de 2019 </w:t>
      </w:r>
    </w:p>
    <w:p w14:paraId="3607173F" w14:textId="77777777" w:rsidR="00AA77FA" w:rsidRPr="00AA77FA" w:rsidRDefault="00AA77FA" w:rsidP="00AA77FA">
      <w:pPr>
        <w:rPr>
          <w:rFonts w:ascii="Aptos" w:hAnsi="Aptos" w:cs="Times New Roman"/>
        </w:rPr>
      </w:pPr>
    </w:p>
    <w:p w14:paraId="4913A8A6" w14:textId="77777777" w:rsidR="00AA77FA" w:rsidRPr="00AA77FA" w:rsidRDefault="00AA77FA" w:rsidP="00AA77FA">
      <w:pPr>
        <w:pStyle w:val="ListParagraph"/>
        <w:widowControl w:val="0"/>
        <w:numPr>
          <w:ilvl w:val="0"/>
          <w:numId w:val="6"/>
        </w:numPr>
        <w:spacing w:after="0" w:line="240" w:lineRule="auto"/>
        <w:contextualSpacing w:val="0"/>
        <w:jc w:val="both"/>
        <w:rPr>
          <w:rFonts w:ascii="Aptos" w:hAnsi="Aptos" w:cs="Times New Roman"/>
        </w:rPr>
      </w:pPr>
      <w:r w:rsidRPr="00AA77FA">
        <w:rPr>
          <w:rFonts w:ascii="Aptos" w:hAnsi="Aptos" w:cs="Times New Roman"/>
        </w:rPr>
        <w:t>En la sobretasa bomberil, explicitar su base, orden de cálculo respecto del IPU y cronograma de giros con conciliaciones periódicas; si se mantiene atada al IPU, documentar su interacción con los límites del IPU.</w:t>
      </w:r>
    </w:p>
    <w:p w14:paraId="1239BD34" w14:textId="77777777" w:rsidR="00AA77FA" w:rsidRPr="00AA77FA" w:rsidRDefault="00AA77FA" w:rsidP="00AA77FA">
      <w:pPr>
        <w:pStyle w:val="ListParagraph"/>
        <w:rPr>
          <w:rFonts w:ascii="Aptos" w:hAnsi="Aptos" w:cs="Times New Roman"/>
        </w:rPr>
      </w:pPr>
    </w:p>
    <w:p w14:paraId="4C1C1FA6" w14:textId="77777777" w:rsidR="00AA77FA" w:rsidRPr="00AA77FA" w:rsidRDefault="00AA77FA" w:rsidP="00AA77FA">
      <w:pPr>
        <w:pStyle w:val="ListParagraph"/>
        <w:widowControl w:val="0"/>
        <w:numPr>
          <w:ilvl w:val="0"/>
          <w:numId w:val="6"/>
        </w:numPr>
        <w:spacing w:after="0" w:line="270" w:lineRule="atLeast"/>
        <w:contextualSpacing w:val="0"/>
        <w:jc w:val="both"/>
        <w:rPr>
          <w:rFonts w:ascii="Aptos" w:hAnsi="Aptos"/>
        </w:rPr>
      </w:pPr>
      <w:r w:rsidRPr="00AA77FA">
        <w:rPr>
          <w:rFonts w:ascii="Aptos" w:hAnsi="Aptos" w:cs="Times New Roman"/>
        </w:rPr>
        <w:t>En alumbrado público, se debe clarificar el hecho generador, base (si es sobre avalúo o sobre componentes del servicio), tarifa y límites de transición cuando varíen avalúos o tarifas.</w:t>
      </w:r>
      <w:r w:rsidRPr="00AA77FA">
        <w:rPr>
          <w:rFonts w:ascii="Aptos" w:eastAsia="Times New Roman" w:hAnsi="Aptos" w:cs="Times New Roman"/>
          <w:b/>
          <w:bCs/>
          <w:lang w:eastAsia="es-MX"/>
        </w:rPr>
        <w:t xml:space="preserve"> </w:t>
      </w:r>
    </w:p>
    <w:p w14:paraId="6DF70023" w14:textId="77777777" w:rsidR="00AA77FA" w:rsidRPr="00AA77FA" w:rsidRDefault="00AA77FA" w:rsidP="00AA77FA">
      <w:pPr>
        <w:pStyle w:val="ListParagraph"/>
        <w:rPr>
          <w:rFonts w:ascii="Aptos" w:hAnsi="Aptos"/>
        </w:rPr>
      </w:pPr>
    </w:p>
    <w:p w14:paraId="37CD40F1" w14:textId="77777777" w:rsidR="00AA77FA" w:rsidRPr="00AA77FA" w:rsidRDefault="00AA77FA" w:rsidP="00AA77FA">
      <w:pPr>
        <w:pStyle w:val="ListParagraph"/>
        <w:widowControl w:val="0"/>
        <w:numPr>
          <w:ilvl w:val="0"/>
          <w:numId w:val="6"/>
        </w:numPr>
        <w:spacing w:after="0" w:line="270" w:lineRule="atLeast"/>
        <w:contextualSpacing w:val="0"/>
        <w:jc w:val="both"/>
        <w:rPr>
          <w:rFonts w:ascii="Aptos" w:hAnsi="Aptos" w:cs="Times New Roman"/>
        </w:rPr>
      </w:pPr>
      <w:r w:rsidRPr="00AA77FA">
        <w:rPr>
          <w:rFonts w:ascii="Aptos" w:hAnsi="Aptos" w:cs="Times New Roman"/>
        </w:rPr>
        <w:t>Sobretasa ambiental: Regular límites al incremento, para evitar cobros desbordados producto de procesos de actualización catastral o rezago.</w:t>
      </w:r>
    </w:p>
    <w:p w14:paraId="58412B8D" w14:textId="77777777" w:rsidR="00AA77FA" w:rsidRPr="00AA77FA" w:rsidRDefault="00AA77FA" w:rsidP="00AA77FA">
      <w:pPr>
        <w:pStyle w:val="ListParagraph"/>
        <w:rPr>
          <w:rFonts w:ascii="Aptos" w:hAnsi="Aptos" w:cs="Times New Roman"/>
        </w:rPr>
      </w:pPr>
    </w:p>
    <w:p w14:paraId="57309D6F" w14:textId="77777777" w:rsidR="00AA77FA" w:rsidRPr="00AA77FA" w:rsidRDefault="00AA77FA" w:rsidP="00AA77FA">
      <w:pPr>
        <w:pStyle w:val="ListParagraph"/>
        <w:widowControl w:val="0"/>
        <w:numPr>
          <w:ilvl w:val="0"/>
          <w:numId w:val="6"/>
        </w:numPr>
        <w:spacing w:after="0" w:line="240" w:lineRule="auto"/>
        <w:contextualSpacing w:val="0"/>
        <w:jc w:val="both"/>
        <w:rPr>
          <w:rFonts w:ascii="Aptos" w:hAnsi="Aptos" w:cs="Times New Roman"/>
        </w:rPr>
      </w:pPr>
      <w:r w:rsidRPr="00AA77FA">
        <w:rPr>
          <w:rFonts w:ascii="Aptos" w:hAnsi="Aptos" w:cs="Times New Roman"/>
        </w:rPr>
        <w:t>Sobre el alumbrado público debe definirse, hecho generador, base, tarifa y coordinación con límites, para evitar cobros desbordados cuando haya actualización o rezago, además de la separación contable frente al IPU para evitar dobles cómputos.</w:t>
      </w:r>
    </w:p>
    <w:p w14:paraId="50331E0F" w14:textId="27B3477D" w:rsidR="00DD0016" w:rsidRPr="00DD0016" w:rsidRDefault="00DD0016" w:rsidP="00AA77FA">
      <w:pPr>
        <w:spacing w:line="360" w:lineRule="auto"/>
        <w:ind w:left="360"/>
        <w:jc w:val="both"/>
        <w:rPr>
          <w:rFonts w:ascii="Aptos" w:hAnsi="Aptos" w:cs="Times New Roman"/>
        </w:rPr>
      </w:pPr>
    </w:p>
    <w:p w14:paraId="597059D7" w14:textId="77777777" w:rsidR="00707E60" w:rsidRDefault="00707E60"/>
    <w:p w14:paraId="412E737A" w14:textId="77777777" w:rsidR="00707E60" w:rsidRDefault="00707E60"/>
    <w:p w14:paraId="59F5D9C1" w14:textId="77777777" w:rsidR="00707E60" w:rsidRDefault="00707E60"/>
    <w:p w14:paraId="39A1343E" w14:textId="77777777" w:rsidR="00707E60" w:rsidRDefault="00707E60"/>
    <w:p w14:paraId="46B394A7" w14:textId="77777777" w:rsidR="00707E60" w:rsidRDefault="00707E60"/>
    <w:p w14:paraId="19A269B2" w14:textId="77777777" w:rsidR="00707E60" w:rsidRDefault="00707E60"/>
    <w:p w14:paraId="3158B45A" w14:textId="77777777" w:rsidR="00707E60" w:rsidRDefault="00707E60"/>
    <w:p w14:paraId="43A6B5BA" w14:textId="77777777" w:rsidR="00707E60" w:rsidRDefault="00707E60"/>
    <w:sectPr w:rsidR="00707E60" w:rsidSect="00707E60">
      <w:headerReference w:type="default" r:id="rId8"/>
      <w:footerReference w:type="even" r:id="rId9"/>
      <w:footerReference w:type="default" r:id="rId10"/>
      <w:pgSz w:w="12240" w:h="15840"/>
      <w:pgMar w:top="1440" w:right="1440" w:bottom="1440" w:left="1440"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1242B3E" w14:textId="77777777" w:rsidR="00EA230C" w:rsidRDefault="00EA230C" w:rsidP="00707E60">
      <w:pPr>
        <w:spacing w:after="0" w:line="240" w:lineRule="auto"/>
      </w:pPr>
      <w:r>
        <w:separator/>
      </w:r>
    </w:p>
  </w:endnote>
  <w:endnote w:type="continuationSeparator" w:id="0">
    <w:p w14:paraId="4ABF2BA7" w14:textId="77777777" w:rsidR="00EA230C" w:rsidRDefault="00EA230C" w:rsidP="00707E6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Yu Gothic">
    <w:altName w:val="游ゴシック"/>
    <w:panose1 w:val="020B0400000000000000"/>
    <w:charset w:val="80"/>
    <w:family w:val="swiss"/>
    <w:pitch w:val="variable"/>
    <w:sig w:usb0="E00002FF" w:usb1="2AC7FDFF" w:usb2="00000016" w:usb3="00000000" w:csb0="0002009F" w:csb1="00000000"/>
  </w:font>
  <w:font w:name="Aptos Display">
    <w:panose1 w:val="020B0004020202020204"/>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694536840"/>
      <w:docPartObj>
        <w:docPartGallery w:val="Page Numbers (Bottom of Page)"/>
        <w:docPartUnique/>
      </w:docPartObj>
    </w:sdtPr>
    <w:sdtContent>
      <w:p w14:paraId="5B7F2B64" w14:textId="68F29198" w:rsidR="00707E60" w:rsidRDefault="00707E60" w:rsidP="000334B6">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fldChar w:fldCharType="end"/>
        </w:r>
      </w:p>
    </w:sdtContent>
  </w:sdt>
  <w:p w14:paraId="701427EE" w14:textId="77777777" w:rsidR="00707E60" w:rsidRDefault="00707E60" w:rsidP="00707E60">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800755832"/>
      <w:docPartObj>
        <w:docPartGallery w:val="Page Numbers (Bottom of Page)"/>
        <w:docPartUnique/>
      </w:docPartObj>
    </w:sdtPr>
    <w:sdtContent>
      <w:p w14:paraId="4BC3D90B" w14:textId="5F218685" w:rsidR="00707E60" w:rsidRDefault="00707E60" w:rsidP="000334B6">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2</w:t>
        </w:r>
        <w:r>
          <w:rPr>
            <w:rStyle w:val="PageNumber"/>
          </w:rPr>
          <w:fldChar w:fldCharType="end"/>
        </w:r>
      </w:p>
    </w:sdtContent>
  </w:sdt>
  <w:p w14:paraId="2C2F8937" w14:textId="77777777" w:rsidR="00707E60" w:rsidRDefault="00707E60" w:rsidP="00707E60">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BC208A4" w14:textId="77777777" w:rsidR="00EA230C" w:rsidRDefault="00EA230C" w:rsidP="00707E60">
      <w:pPr>
        <w:spacing w:after="0" w:line="240" w:lineRule="auto"/>
      </w:pPr>
      <w:r>
        <w:separator/>
      </w:r>
    </w:p>
  </w:footnote>
  <w:footnote w:type="continuationSeparator" w:id="0">
    <w:p w14:paraId="18F2DDBF" w14:textId="77777777" w:rsidR="00EA230C" w:rsidRDefault="00EA230C" w:rsidP="00707E6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BEA336" w14:textId="7FD62BEC" w:rsidR="00707E60" w:rsidRDefault="00707E60" w:rsidP="00707E60">
    <w:pPr>
      <w:pStyle w:val="Header"/>
    </w:pPr>
    <w:r w:rsidRPr="006F3507">
      <w:rPr>
        <w:noProof/>
      </w:rPr>
      <mc:AlternateContent>
        <mc:Choice Requires="wps">
          <w:drawing>
            <wp:anchor distT="0" distB="0" distL="114300" distR="114300" simplePos="0" relativeHeight="251659264" behindDoc="0" locked="0" layoutInCell="1" allowOverlap="1" wp14:anchorId="59CC783E" wp14:editId="1C11A54F">
              <wp:simplePos x="0" y="0"/>
              <wp:positionH relativeFrom="column">
                <wp:posOffset>37238</wp:posOffset>
              </wp:positionH>
              <wp:positionV relativeFrom="paragraph">
                <wp:posOffset>-111760</wp:posOffset>
              </wp:positionV>
              <wp:extent cx="3256767" cy="551145"/>
              <wp:effectExtent l="0" t="0" r="0" b="0"/>
              <wp:wrapNone/>
              <wp:docPr id="4" name="CuadroTexto 3">
                <a:extLst xmlns:a="http://schemas.openxmlformats.org/drawingml/2006/main">
                  <a:ext uri="{FF2B5EF4-FFF2-40B4-BE49-F238E27FC236}">
                    <a16:creationId xmlns:a16="http://schemas.microsoft.com/office/drawing/2014/main" id="{0BAB22FA-B3FF-7701-F2F6-CC0537A91E39}"/>
                  </a:ext>
                </a:extLst>
              </wp:docPr>
              <wp:cNvGraphicFramePr/>
              <a:graphic xmlns:a="http://schemas.openxmlformats.org/drawingml/2006/main">
                <a:graphicData uri="http://schemas.microsoft.com/office/word/2010/wordprocessingShape">
                  <wps:wsp>
                    <wps:cNvSpPr txBox="1"/>
                    <wps:spPr>
                      <a:xfrm>
                        <a:off x="0" y="0"/>
                        <a:ext cx="3256767" cy="551145"/>
                      </a:xfrm>
                      <a:prstGeom prst="rect">
                        <a:avLst/>
                      </a:prstGeom>
                      <a:noFill/>
                    </wps:spPr>
                    <wps:txbx>
                      <w:txbxContent>
                        <w:p w14:paraId="745AB46E" w14:textId="77777777" w:rsidR="00DD0016" w:rsidRPr="00327CFA" w:rsidRDefault="00DD0016" w:rsidP="00DD0016">
                          <w:pPr>
                            <w:pStyle w:val="NoSpacing"/>
                            <w:rPr>
                              <w:b/>
                              <w:bCs/>
                              <w:color w:val="000000" w:themeColor="text1"/>
                            </w:rPr>
                          </w:pPr>
                          <w:r w:rsidRPr="00AB4389">
                            <w:rPr>
                              <w:b/>
                              <w:bCs/>
                              <w:color w:val="000000" w:themeColor="text1"/>
                            </w:rPr>
                            <w:t>Análisis Jurídico de Estatuto Tributario</w:t>
                          </w:r>
                        </w:p>
                        <w:p w14:paraId="55DF06F3" w14:textId="4EE9BC2E" w:rsidR="00707E60" w:rsidRPr="00707E60" w:rsidRDefault="00707E60" w:rsidP="00707E60">
                          <w:pPr>
                            <w:pStyle w:val="NoSpacing"/>
                            <w:rPr>
                              <w:color w:val="000000" w:themeColor="text1"/>
                              <w:sz w:val="28"/>
                              <w:szCs w:val="28"/>
                            </w:rPr>
                          </w:pPr>
                          <w:r w:rsidRPr="00707E60">
                            <w:rPr>
                              <w:color w:val="000000" w:themeColor="text1"/>
                              <w:sz w:val="28"/>
                              <w:szCs w:val="28"/>
                            </w:rPr>
                            <w:t xml:space="preserve">Ficha Municipio </w:t>
                          </w:r>
                          <w:r w:rsidR="00AA77FA">
                            <w:rPr>
                              <w:color w:val="000000" w:themeColor="text1"/>
                              <w:sz w:val="28"/>
                              <w:szCs w:val="28"/>
                            </w:rPr>
                            <w:t>Venecia</w:t>
                          </w:r>
                        </w:p>
                      </w:txbxContent>
                    </wps:txbx>
                    <wps:bodyPr wrap="square" rtlCol="0">
                      <a:noAutofit/>
                    </wps:bodyPr>
                  </wps:wsp>
                </a:graphicData>
              </a:graphic>
              <wp14:sizeRelH relativeFrom="margin">
                <wp14:pctWidth>0</wp14:pctWidth>
              </wp14:sizeRelH>
              <wp14:sizeRelV relativeFrom="margin">
                <wp14:pctHeight>0</wp14:pctHeight>
              </wp14:sizeRelV>
            </wp:anchor>
          </w:drawing>
        </mc:Choice>
        <mc:Fallback>
          <w:pict>
            <v:shapetype w14:anchorId="59CC783E" id="_x0000_t202" coordsize="21600,21600" o:spt="202" path="m,l,21600r21600,l21600,xe">
              <v:stroke joinstyle="miter"/>
              <v:path gradientshapeok="t" o:connecttype="rect"/>
            </v:shapetype>
            <v:shape id="CuadroTexto 3" o:spid="_x0000_s1026" type="#_x0000_t202" style="position:absolute;margin-left:2.95pt;margin-top:-8.8pt;width:256.45pt;height:43.4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" filled="f" stroked="f">
              <v:textbox>
                <w:txbxContent>
                  <w:p w14:paraId="745AB46E" w14:textId="77777777" w:rsidR="00DD0016" w:rsidRPr="00327CFA" w:rsidRDefault="00DD0016" w:rsidP="00DD0016">
                    <w:pPr>
                      <w:pStyle w:val="NoSpacing"/>
                      <w:rPr>
                        <w:b/>
                        <w:bCs/>
                        <w:color w:val="000000" w:themeColor="text1"/>
                      </w:rPr>
                    </w:pPr>
                    <w:r w:rsidRPr="00AB4389">
                      <w:rPr>
                        <w:b/>
                        <w:bCs/>
                        <w:color w:val="000000" w:themeColor="text1"/>
                      </w:rPr>
                      <w:t>Análisis Jurídico de Estatuto Tributario</w:t>
                    </w:r>
                  </w:p>
                  <w:p w14:paraId="55DF06F3" w14:textId="4EE9BC2E" w:rsidR="00707E60" w:rsidRPr="00707E60" w:rsidRDefault="00707E60" w:rsidP="00707E60">
                    <w:pPr>
                      <w:pStyle w:val="NoSpacing"/>
                      <w:rPr>
                        <w:color w:val="000000" w:themeColor="text1"/>
                        <w:sz w:val="28"/>
                        <w:szCs w:val="28"/>
                      </w:rPr>
                    </w:pPr>
                    <w:r w:rsidRPr="00707E60">
                      <w:rPr>
                        <w:color w:val="000000" w:themeColor="text1"/>
                        <w:sz w:val="28"/>
                        <w:szCs w:val="28"/>
                      </w:rPr>
                      <w:t xml:space="preserve">Ficha Municipio </w:t>
                    </w:r>
                    <w:r w:rsidR="00AA77FA">
                      <w:rPr>
                        <w:color w:val="000000" w:themeColor="text1"/>
                        <w:sz w:val="28"/>
                        <w:szCs w:val="28"/>
                      </w:rPr>
                      <w:t>Venecia</w:t>
                    </w:r>
                  </w:p>
                </w:txbxContent>
              </v:textbox>
            </v:shape>
          </w:pict>
        </mc:Fallback>
      </mc:AlternateContent>
    </w:r>
    <w:r w:rsidRPr="001B18EF">
      <w:rPr>
        <w:noProof/>
        <w:lang w:eastAsia="es-CO"/>
      </w:rPr>
      <w:drawing>
        <wp:anchor distT="0" distB="0" distL="114300" distR="114300" simplePos="0" relativeHeight="251660288" behindDoc="0" locked="0" layoutInCell="1" allowOverlap="1" wp14:anchorId="015C3FBD" wp14:editId="7BF962BD">
          <wp:simplePos x="0" y="0"/>
          <wp:positionH relativeFrom="column">
            <wp:posOffset>3844925</wp:posOffset>
          </wp:positionH>
          <wp:positionV relativeFrom="paragraph">
            <wp:posOffset>-174224</wp:posOffset>
          </wp:positionV>
          <wp:extent cx="2125345" cy="612775"/>
          <wp:effectExtent l="0" t="0" r="0" b="0"/>
          <wp:wrapSquare wrapText="bothSides"/>
          <wp:docPr id="866569291" name="Picture 9" descr="A black and grey logo&#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6569291" name="Picture 9" descr="A black and grey logo&#10;&#10;AI-generated content may be incorrect."/>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125345" cy="612775"/>
                  </a:xfrm>
                  <a:prstGeom prst="rect">
                    <a:avLst/>
                  </a:prstGeom>
                  <a:noFill/>
                  <a:ln>
                    <a:noFill/>
                  </a:ln>
                </pic:spPr>
              </pic:pic>
            </a:graphicData>
          </a:graphic>
          <wp14:sizeRelH relativeFrom="page">
            <wp14:pctWidth>0</wp14:pctWidth>
          </wp14:sizeRelH>
          <wp14:sizeRelV relativeFrom="page">
            <wp14:pctHeight>0</wp14:pctHeight>
          </wp14:sizeRelV>
        </wp:anchor>
      </w:drawing>
    </w:r>
    <w: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C75253"/>
    <w:multiLevelType w:val="multilevel"/>
    <w:tmpl w:val="BBF079EE"/>
    <w:lvl w:ilvl="0">
      <w:start w:val="1"/>
      <w:numFmt w:val="bullet"/>
      <w:lvlText w:val=""/>
      <w:lvlJc w:val="left"/>
      <w:pPr>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09F6999"/>
    <w:multiLevelType w:val="hybridMultilevel"/>
    <w:tmpl w:val="D152BBDC"/>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 w15:restartNumberingAfterBreak="0">
    <w:nsid w:val="39023C47"/>
    <w:multiLevelType w:val="hybridMultilevel"/>
    <w:tmpl w:val="7FE052D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49127BE5"/>
    <w:multiLevelType w:val="hybridMultilevel"/>
    <w:tmpl w:val="B8A64F1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4F6804F0"/>
    <w:multiLevelType w:val="hybridMultilevel"/>
    <w:tmpl w:val="58E25F56"/>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5" w15:restartNumberingAfterBreak="0">
    <w:nsid w:val="5ED71B67"/>
    <w:multiLevelType w:val="multilevel"/>
    <w:tmpl w:val="BBF079EE"/>
    <w:lvl w:ilvl="0">
      <w:start w:val="1"/>
      <w:numFmt w:val="bullet"/>
      <w:lvlText w:val=""/>
      <w:lvlJc w:val="left"/>
      <w:pPr>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8917704">
    <w:abstractNumId w:val="2"/>
  </w:num>
  <w:num w:numId="2" w16cid:durableId="1017347282">
    <w:abstractNumId w:val="3"/>
  </w:num>
  <w:num w:numId="3" w16cid:durableId="44450645">
    <w:abstractNumId w:val="5"/>
  </w:num>
  <w:num w:numId="4" w16cid:durableId="1953855267">
    <w:abstractNumId w:val="0"/>
  </w:num>
  <w:num w:numId="5" w16cid:durableId="1560557499">
    <w:abstractNumId w:val="4"/>
  </w:num>
  <w:num w:numId="6" w16cid:durableId="194965792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2"/>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07E60"/>
    <w:rsid w:val="00084B98"/>
    <w:rsid w:val="00120797"/>
    <w:rsid w:val="00134527"/>
    <w:rsid w:val="00211E44"/>
    <w:rsid w:val="0023618C"/>
    <w:rsid w:val="003650D0"/>
    <w:rsid w:val="003A7CEA"/>
    <w:rsid w:val="003E2241"/>
    <w:rsid w:val="004107CA"/>
    <w:rsid w:val="005422DF"/>
    <w:rsid w:val="005F7A75"/>
    <w:rsid w:val="00605B4C"/>
    <w:rsid w:val="00665846"/>
    <w:rsid w:val="006A249B"/>
    <w:rsid w:val="00707E60"/>
    <w:rsid w:val="007D1D7D"/>
    <w:rsid w:val="00813F67"/>
    <w:rsid w:val="00844CC8"/>
    <w:rsid w:val="00845F02"/>
    <w:rsid w:val="00855468"/>
    <w:rsid w:val="009D1F9E"/>
    <w:rsid w:val="00A27409"/>
    <w:rsid w:val="00A55C9A"/>
    <w:rsid w:val="00A60686"/>
    <w:rsid w:val="00A96461"/>
    <w:rsid w:val="00AA77FA"/>
    <w:rsid w:val="00B429CF"/>
    <w:rsid w:val="00C04706"/>
    <w:rsid w:val="00C942B0"/>
    <w:rsid w:val="00D37EF2"/>
    <w:rsid w:val="00DB14E5"/>
    <w:rsid w:val="00DD0016"/>
    <w:rsid w:val="00E20840"/>
    <w:rsid w:val="00E608BE"/>
    <w:rsid w:val="00EA230C"/>
    <w:rsid w:val="00F27231"/>
    <w:rsid w:val="00F65205"/>
    <w:rsid w:val="00FD5F5F"/>
  </w:rsids>
  <m:mathPr>
    <m:mathFont m:val="Cambria Math"/>
    <m:brkBin m:val="before"/>
    <m:brkBinSub m:val="--"/>
    <m:smallFrac m:val="0"/>
    <m:dispDef/>
    <m:lMargin m:val="0"/>
    <m:rMargin m:val="0"/>
    <m:defJc m:val="centerGroup"/>
    <m:wrapIndent m:val="1440"/>
    <m:intLim m:val="subSup"/>
    <m:naryLim m:val="undOvr"/>
  </m:mathPr>
  <w:themeFontLang w:val="en-CO" w:eastAsia="ja-JP"/>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9D2BB83"/>
  <w15:chartTrackingRefBased/>
  <w15:docId w15:val="{AC92E50B-06D8-7E40-8625-54C1C78544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CO"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07E60"/>
    <w:pPr>
      <w:spacing w:after="160" w:line="259" w:lineRule="auto"/>
    </w:pPr>
    <w:rPr>
      <w:rFonts w:eastAsiaTheme="minorHAnsi"/>
      <w:sz w:val="22"/>
      <w:szCs w:val="22"/>
      <w:lang w:val="es-CO" w:eastAsia="en-US"/>
    </w:rPr>
  </w:style>
  <w:style w:type="paragraph" w:styleId="Heading1">
    <w:name w:val="heading 1"/>
    <w:basedOn w:val="Normal"/>
    <w:next w:val="Normal"/>
    <w:link w:val="Heading1Char"/>
    <w:uiPriority w:val="9"/>
    <w:qFormat/>
    <w:rsid w:val="00707E6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07E6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07E6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07E6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07E6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07E60"/>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07E60"/>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07E60"/>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07E60"/>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07E60"/>
    <w:rPr>
      <w:rFonts w:asciiTheme="majorHAnsi" w:eastAsiaTheme="majorEastAsia" w:hAnsiTheme="majorHAnsi" w:cstheme="majorBidi"/>
      <w:color w:val="0F4761" w:themeColor="accent1" w:themeShade="BF"/>
      <w:sz w:val="40"/>
      <w:szCs w:val="40"/>
      <w:lang w:val="es-ES"/>
    </w:rPr>
  </w:style>
  <w:style w:type="character" w:customStyle="1" w:styleId="Heading2Char">
    <w:name w:val="Heading 2 Char"/>
    <w:basedOn w:val="DefaultParagraphFont"/>
    <w:link w:val="Heading2"/>
    <w:uiPriority w:val="9"/>
    <w:semiHidden/>
    <w:rsid w:val="00707E60"/>
    <w:rPr>
      <w:rFonts w:asciiTheme="majorHAnsi" w:eastAsiaTheme="majorEastAsia" w:hAnsiTheme="majorHAnsi" w:cstheme="majorBidi"/>
      <w:color w:val="0F4761" w:themeColor="accent1" w:themeShade="BF"/>
      <w:sz w:val="32"/>
      <w:szCs w:val="32"/>
      <w:lang w:val="es-ES"/>
    </w:rPr>
  </w:style>
  <w:style w:type="character" w:customStyle="1" w:styleId="Heading3Char">
    <w:name w:val="Heading 3 Char"/>
    <w:basedOn w:val="DefaultParagraphFont"/>
    <w:link w:val="Heading3"/>
    <w:uiPriority w:val="9"/>
    <w:semiHidden/>
    <w:rsid w:val="00707E60"/>
    <w:rPr>
      <w:rFonts w:eastAsiaTheme="majorEastAsia" w:cstheme="majorBidi"/>
      <w:color w:val="0F4761" w:themeColor="accent1" w:themeShade="BF"/>
      <w:sz w:val="28"/>
      <w:szCs w:val="28"/>
      <w:lang w:val="es-ES"/>
    </w:rPr>
  </w:style>
  <w:style w:type="character" w:customStyle="1" w:styleId="Heading4Char">
    <w:name w:val="Heading 4 Char"/>
    <w:basedOn w:val="DefaultParagraphFont"/>
    <w:link w:val="Heading4"/>
    <w:uiPriority w:val="9"/>
    <w:semiHidden/>
    <w:rsid w:val="00707E60"/>
    <w:rPr>
      <w:rFonts w:eastAsiaTheme="majorEastAsia" w:cstheme="majorBidi"/>
      <w:i/>
      <w:iCs/>
      <w:color w:val="0F4761" w:themeColor="accent1" w:themeShade="BF"/>
      <w:lang w:val="es-ES"/>
    </w:rPr>
  </w:style>
  <w:style w:type="character" w:customStyle="1" w:styleId="Heading5Char">
    <w:name w:val="Heading 5 Char"/>
    <w:basedOn w:val="DefaultParagraphFont"/>
    <w:link w:val="Heading5"/>
    <w:uiPriority w:val="9"/>
    <w:semiHidden/>
    <w:rsid w:val="00707E60"/>
    <w:rPr>
      <w:rFonts w:eastAsiaTheme="majorEastAsia" w:cstheme="majorBidi"/>
      <w:color w:val="0F4761" w:themeColor="accent1" w:themeShade="BF"/>
      <w:lang w:val="es-ES"/>
    </w:rPr>
  </w:style>
  <w:style w:type="character" w:customStyle="1" w:styleId="Heading6Char">
    <w:name w:val="Heading 6 Char"/>
    <w:basedOn w:val="DefaultParagraphFont"/>
    <w:link w:val="Heading6"/>
    <w:uiPriority w:val="9"/>
    <w:semiHidden/>
    <w:rsid w:val="00707E60"/>
    <w:rPr>
      <w:rFonts w:eastAsiaTheme="majorEastAsia" w:cstheme="majorBidi"/>
      <w:i/>
      <w:iCs/>
      <w:color w:val="595959" w:themeColor="text1" w:themeTint="A6"/>
      <w:lang w:val="es-ES"/>
    </w:rPr>
  </w:style>
  <w:style w:type="character" w:customStyle="1" w:styleId="Heading7Char">
    <w:name w:val="Heading 7 Char"/>
    <w:basedOn w:val="DefaultParagraphFont"/>
    <w:link w:val="Heading7"/>
    <w:uiPriority w:val="9"/>
    <w:semiHidden/>
    <w:rsid w:val="00707E60"/>
    <w:rPr>
      <w:rFonts w:eastAsiaTheme="majorEastAsia" w:cstheme="majorBidi"/>
      <w:color w:val="595959" w:themeColor="text1" w:themeTint="A6"/>
      <w:lang w:val="es-ES"/>
    </w:rPr>
  </w:style>
  <w:style w:type="character" w:customStyle="1" w:styleId="Heading8Char">
    <w:name w:val="Heading 8 Char"/>
    <w:basedOn w:val="DefaultParagraphFont"/>
    <w:link w:val="Heading8"/>
    <w:uiPriority w:val="9"/>
    <w:semiHidden/>
    <w:rsid w:val="00707E60"/>
    <w:rPr>
      <w:rFonts w:eastAsiaTheme="majorEastAsia" w:cstheme="majorBidi"/>
      <w:i/>
      <w:iCs/>
      <w:color w:val="272727" w:themeColor="text1" w:themeTint="D8"/>
      <w:lang w:val="es-ES"/>
    </w:rPr>
  </w:style>
  <w:style w:type="character" w:customStyle="1" w:styleId="Heading9Char">
    <w:name w:val="Heading 9 Char"/>
    <w:basedOn w:val="DefaultParagraphFont"/>
    <w:link w:val="Heading9"/>
    <w:uiPriority w:val="9"/>
    <w:semiHidden/>
    <w:rsid w:val="00707E60"/>
    <w:rPr>
      <w:rFonts w:eastAsiaTheme="majorEastAsia" w:cstheme="majorBidi"/>
      <w:color w:val="272727" w:themeColor="text1" w:themeTint="D8"/>
      <w:lang w:val="es-ES"/>
    </w:rPr>
  </w:style>
  <w:style w:type="paragraph" w:styleId="Title">
    <w:name w:val="Title"/>
    <w:basedOn w:val="Normal"/>
    <w:next w:val="Normal"/>
    <w:link w:val="TitleChar"/>
    <w:uiPriority w:val="10"/>
    <w:qFormat/>
    <w:rsid w:val="00707E60"/>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07E60"/>
    <w:rPr>
      <w:rFonts w:asciiTheme="majorHAnsi" w:eastAsiaTheme="majorEastAsia" w:hAnsiTheme="majorHAnsi" w:cstheme="majorBidi"/>
      <w:spacing w:val="-10"/>
      <w:kern w:val="28"/>
      <w:sz w:val="56"/>
      <w:szCs w:val="56"/>
      <w:lang w:val="es-ES"/>
    </w:rPr>
  </w:style>
  <w:style w:type="paragraph" w:styleId="Subtitle">
    <w:name w:val="Subtitle"/>
    <w:basedOn w:val="Normal"/>
    <w:next w:val="Normal"/>
    <w:link w:val="SubtitleChar"/>
    <w:uiPriority w:val="11"/>
    <w:qFormat/>
    <w:rsid w:val="00707E6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07E60"/>
    <w:rPr>
      <w:rFonts w:eastAsiaTheme="majorEastAsia" w:cstheme="majorBidi"/>
      <w:color w:val="595959" w:themeColor="text1" w:themeTint="A6"/>
      <w:spacing w:val="15"/>
      <w:sz w:val="28"/>
      <w:szCs w:val="28"/>
      <w:lang w:val="es-ES"/>
    </w:rPr>
  </w:style>
  <w:style w:type="paragraph" w:styleId="Quote">
    <w:name w:val="Quote"/>
    <w:basedOn w:val="Normal"/>
    <w:next w:val="Normal"/>
    <w:link w:val="QuoteChar"/>
    <w:uiPriority w:val="29"/>
    <w:qFormat/>
    <w:rsid w:val="00707E60"/>
    <w:pPr>
      <w:spacing w:before="160"/>
      <w:jc w:val="center"/>
    </w:pPr>
    <w:rPr>
      <w:i/>
      <w:iCs/>
      <w:color w:val="404040" w:themeColor="text1" w:themeTint="BF"/>
    </w:rPr>
  </w:style>
  <w:style w:type="character" w:customStyle="1" w:styleId="QuoteChar">
    <w:name w:val="Quote Char"/>
    <w:basedOn w:val="DefaultParagraphFont"/>
    <w:link w:val="Quote"/>
    <w:uiPriority w:val="29"/>
    <w:rsid w:val="00707E60"/>
    <w:rPr>
      <w:i/>
      <w:iCs/>
      <w:color w:val="404040" w:themeColor="text1" w:themeTint="BF"/>
      <w:lang w:val="es-ES"/>
    </w:rPr>
  </w:style>
  <w:style w:type="paragraph" w:styleId="ListParagraph">
    <w:name w:val="List Paragraph"/>
    <w:aliases w:val="Numerado informes,Bibliografía Tesis,Figuras,parrafo,Bolita,Viñeta 4ta"/>
    <w:basedOn w:val="Normal"/>
    <w:link w:val="ListParagraphChar"/>
    <w:uiPriority w:val="34"/>
    <w:qFormat/>
    <w:rsid w:val="00707E60"/>
    <w:pPr>
      <w:ind w:left="720"/>
      <w:contextualSpacing/>
    </w:pPr>
  </w:style>
  <w:style w:type="character" w:styleId="IntenseEmphasis">
    <w:name w:val="Intense Emphasis"/>
    <w:basedOn w:val="DefaultParagraphFont"/>
    <w:uiPriority w:val="21"/>
    <w:qFormat/>
    <w:rsid w:val="00707E60"/>
    <w:rPr>
      <w:i/>
      <w:iCs/>
      <w:color w:val="0F4761" w:themeColor="accent1" w:themeShade="BF"/>
    </w:rPr>
  </w:style>
  <w:style w:type="paragraph" w:styleId="IntenseQuote">
    <w:name w:val="Intense Quote"/>
    <w:basedOn w:val="Normal"/>
    <w:next w:val="Normal"/>
    <w:link w:val="IntenseQuoteChar"/>
    <w:uiPriority w:val="30"/>
    <w:qFormat/>
    <w:rsid w:val="00707E6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07E60"/>
    <w:rPr>
      <w:i/>
      <w:iCs/>
      <w:color w:val="0F4761" w:themeColor="accent1" w:themeShade="BF"/>
      <w:lang w:val="es-ES"/>
    </w:rPr>
  </w:style>
  <w:style w:type="character" w:styleId="IntenseReference">
    <w:name w:val="Intense Reference"/>
    <w:basedOn w:val="DefaultParagraphFont"/>
    <w:uiPriority w:val="32"/>
    <w:qFormat/>
    <w:rsid w:val="00707E60"/>
    <w:rPr>
      <w:b/>
      <w:bCs/>
      <w:smallCaps/>
      <w:color w:val="0F4761" w:themeColor="accent1" w:themeShade="BF"/>
      <w:spacing w:val="5"/>
    </w:rPr>
  </w:style>
  <w:style w:type="paragraph" w:styleId="Header">
    <w:name w:val="header"/>
    <w:basedOn w:val="Normal"/>
    <w:link w:val="HeaderChar"/>
    <w:uiPriority w:val="99"/>
    <w:unhideWhenUsed/>
    <w:rsid w:val="00707E60"/>
    <w:pPr>
      <w:tabs>
        <w:tab w:val="center" w:pos="4680"/>
        <w:tab w:val="right" w:pos="9360"/>
      </w:tabs>
    </w:pPr>
  </w:style>
  <w:style w:type="character" w:customStyle="1" w:styleId="HeaderChar">
    <w:name w:val="Header Char"/>
    <w:basedOn w:val="DefaultParagraphFont"/>
    <w:link w:val="Header"/>
    <w:uiPriority w:val="99"/>
    <w:rsid w:val="00707E60"/>
    <w:rPr>
      <w:lang w:val="es-ES"/>
    </w:rPr>
  </w:style>
  <w:style w:type="paragraph" w:styleId="Footer">
    <w:name w:val="footer"/>
    <w:basedOn w:val="Normal"/>
    <w:link w:val="FooterChar"/>
    <w:uiPriority w:val="99"/>
    <w:unhideWhenUsed/>
    <w:rsid w:val="00707E60"/>
    <w:pPr>
      <w:tabs>
        <w:tab w:val="center" w:pos="4680"/>
        <w:tab w:val="right" w:pos="9360"/>
      </w:tabs>
    </w:pPr>
  </w:style>
  <w:style w:type="character" w:customStyle="1" w:styleId="FooterChar">
    <w:name w:val="Footer Char"/>
    <w:basedOn w:val="DefaultParagraphFont"/>
    <w:link w:val="Footer"/>
    <w:uiPriority w:val="99"/>
    <w:rsid w:val="00707E60"/>
    <w:rPr>
      <w:lang w:val="es-ES"/>
    </w:rPr>
  </w:style>
  <w:style w:type="paragraph" w:styleId="NoSpacing">
    <w:name w:val="No Spacing"/>
    <w:uiPriority w:val="1"/>
    <w:qFormat/>
    <w:rsid w:val="00707E60"/>
    <w:rPr>
      <w:rFonts w:eastAsiaTheme="minorHAnsi"/>
      <w:kern w:val="2"/>
      <w:sz w:val="22"/>
      <w:szCs w:val="22"/>
      <w:lang w:val="es-CO" w:eastAsia="en-US"/>
      <w14:ligatures w14:val="standardContextual"/>
    </w:rPr>
  </w:style>
  <w:style w:type="character" w:customStyle="1" w:styleId="ListParagraphChar">
    <w:name w:val="List Paragraph Char"/>
    <w:aliases w:val="Numerado informes Char,Bibliografía Tesis Char,Figuras Char,parrafo Char,Bolita Char,Viñeta 4ta Char"/>
    <w:link w:val="ListParagraph"/>
    <w:uiPriority w:val="34"/>
    <w:locked/>
    <w:rsid w:val="00707E60"/>
    <w:rPr>
      <w:lang w:val="es-ES"/>
    </w:rPr>
  </w:style>
  <w:style w:type="character" w:styleId="PageNumber">
    <w:name w:val="page number"/>
    <w:basedOn w:val="DefaultParagraphFont"/>
    <w:uiPriority w:val="99"/>
    <w:semiHidden/>
    <w:unhideWhenUsed/>
    <w:rsid w:val="00707E6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10</TotalTime>
  <Pages>4</Pages>
  <Words>950</Words>
  <Characters>5416</Characters>
  <Application>Microsoft Office Word</Application>
  <DocSecurity>0</DocSecurity>
  <Lines>45</Lines>
  <Paragraphs>12</Paragraphs>
  <ScaleCrop>false</ScaleCrop>
  <Company/>
  <LinksUpToDate>false</LinksUpToDate>
  <CharactersWithSpaces>6354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Ana Sofia Herazo Castelblanco</dc:creator>
  <cp:keywords/>
  <dc:description/>
  <cp:lastModifiedBy>Ana Sofia Herazo Castelblanco</cp:lastModifiedBy>
  <cp:revision>5</cp:revision>
  <dcterms:created xsi:type="dcterms:W3CDTF">2025-10-23T17:12:00Z</dcterms:created>
  <dcterms:modified xsi:type="dcterms:W3CDTF">2025-10-30T14:40:00Z</dcterms:modified>
</cp:coreProperties>
</file>