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6ECDC49"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601892">
        <w:rPr>
          <w:color w:val="000000" w:themeColor="text1"/>
          <w:sz w:val="44"/>
          <w:szCs w:val="44"/>
        </w:rPr>
        <w:t>Angostura</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983684B" w14:textId="4AE57E6B" w:rsidR="0009720F" w:rsidRPr="0009720F" w:rsidRDefault="0009720F" w:rsidP="0009720F">
      <w:pPr>
        <w:spacing w:line="360" w:lineRule="auto"/>
        <w:ind w:left="360"/>
        <w:jc w:val="both"/>
        <w:rPr>
          <w:rFonts w:ascii="Aptos" w:hAnsi="Aptos" w:cs="Times New Roman"/>
        </w:rPr>
      </w:pPr>
      <w:r w:rsidRPr="0009720F">
        <w:rPr>
          <w:rFonts w:ascii="Aptos" w:hAnsi="Aptos" w:cs="Times New Roman"/>
        </w:rPr>
        <w:lastRenderedPageBreak/>
        <w:t>El estado actual de su normatividad tributaria se establece en el Acuerdo 026 de 2017,</w:t>
      </w:r>
      <w:r>
        <w:rPr>
          <w:rFonts w:ascii="Aptos" w:hAnsi="Aptos" w:cs="Times New Roman"/>
        </w:rPr>
        <w:t xml:space="preserve"> </w:t>
      </w:r>
      <w:r w:rsidRPr="0009720F">
        <w:rPr>
          <w:rFonts w:ascii="Aptos" w:hAnsi="Aptos" w:cs="Times New Roman"/>
        </w:rPr>
        <w:t>modificado por el Acuerdo 014 de 2021.</w:t>
      </w:r>
    </w:p>
    <w:p w14:paraId="3144D50C" w14:textId="77777777" w:rsidR="0009720F" w:rsidRPr="0009720F" w:rsidRDefault="0009720F" w:rsidP="0009720F">
      <w:pPr>
        <w:spacing w:line="360" w:lineRule="auto"/>
        <w:jc w:val="both"/>
        <w:rPr>
          <w:rFonts w:ascii="Aptos" w:hAnsi="Aptos" w:cs="Times New Roman"/>
          <w:b/>
          <w:bCs/>
          <w:sz w:val="32"/>
          <w:szCs w:val="32"/>
        </w:rPr>
      </w:pPr>
      <w:r w:rsidRPr="0009720F">
        <w:rPr>
          <w:rFonts w:ascii="Aptos" w:hAnsi="Aptos" w:cs="Times New Roman"/>
          <w:b/>
          <w:bCs/>
          <w:sz w:val="32"/>
          <w:szCs w:val="32"/>
        </w:rPr>
        <w:t>Hallazgos</w:t>
      </w:r>
    </w:p>
    <w:p w14:paraId="38ADF1FF" w14:textId="77777777" w:rsidR="0009720F" w:rsidRP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42985CD" w14:textId="643B2743" w:rsidR="0009720F" w:rsidRP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 xml:space="preserve">Elementos del IPU completos (naturaleza real, sujetos, hecho generador, base con </w:t>
      </w:r>
      <w:r w:rsidRPr="0009720F">
        <w:rPr>
          <w:rFonts w:ascii="Aptos" w:hAnsi="Aptos" w:cs="Times New Roman"/>
        </w:rPr>
        <w:t>auto avalúo</w:t>
      </w:r>
      <w:r w:rsidRPr="0009720F">
        <w:rPr>
          <w:rFonts w:ascii="Aptos" w:hAnsi="Aptos" w:cs="Times New Roman"/>
        </w:rPr>
        <w:t xml:space="preserve"> sujeto a aprobación catastral, causación), con referencias técnicas que requieren armonización con la Resolución 1040 de 2023.</w:t>
      </w:r>
    </w:p>
    <w:p w14:paraId="47FECBDC" w14:textId="77777777" w:rsidR="0009720F" w:rsidRP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Límites del impuesto: existe límite por formación/actualización, pero no hay reglas de rezago.</w:t>
      </w:r>
    </w:p>
    <w:p w14:paraId="14DF8E37" w14:textId="77777777" w:rsidR="0009720F" w:rsidRP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Determinación y pago: facturación con mérito ejecutivo; pago anual con opción trimestral; pronto pago 10 %.</w:t>
      </w:r>
    </w:p>
    <w:p w14:paraId="5F5F9EE8" w14:textId="40E98E8E" w:rsidR="0009720F" w:rsidRP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 xml:space="preserve">Predial compensatorio del sector eléctrico adoptado con base mínima por </w:t>
      </w:r>
      <w:r w:rsidRPr="0009720F">
        <w:rPr>
          <w:rFonts w:ascii="Aptos" w:hAnsi="Aptos" w:cs="Times New Roman"/>
        </w:rPr>
        <w:t>auto avalúo</w:t>
      </w:r>
      <w:r w:rsidRPr="0009720F">
        <w:rPr>
          <w:rFonts w:ascii="Aptos" w:hAnsi="Aptos" w:cs="Times New Roman"/>
        </w:rPr>
        <w:t xml:space="preserve"> anclada a información catastral.</w:t>
      </w:r>
    </w:p>
    <w:p w14:paraId="72601CB2" w14:textId="77777777" w:rsidR="0009720F" w:rsidRP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Sobretasa ambiental: el texto adopta el 15 % del recaudo del IPU.</w:t>
      </w:r>
    </w:p>
    <w:p w14:paraId="6C39C083" w14:textId="77777777" w:rsidR="0009720F" w:rsidRDefault="0009720F" w:rsidP="0009720F">
      <w:pPr>
        <w:numPr>
          <w:ilvl w:val="0"/>
          <w:numId w:val="7"/>
        </w:numPr>
        <w:spacing w:line="360" w:lineRule="auto"/>
        <w:jc w:val="both"/>
        <w:rPr>
          <w:rFonts w:ascii="Aptos" w:hAnsi="Aptos" w:cs="Times New Roman"/>
        </w:rPr>
      </w:pPr>
      <w:r w:rsidRPr="0009720F">
        <w:rPr>
          <w:rFonts w:ascii="Aptos" w:hAnsi="Aptos" w:cs="Times New Roman"/>
        </w:rPr>
        <w:t>Beneficios y exclusiones con enfoque ambiental, uso del suelo: exenciones para predios de la autoridad ambiental destinados a conservación (hoyas, laderas, escarpas, conducción de aguas, embalses, colectores, tanques y plantas de tratamiento) y para áreas exclusivamente de conservación de aguas, fauna y flora reglamentadas por el Concejo. La exención aplica solo sobre la porción protegida y hasta por cinco años. Faltan reglas de verificación, renovación, cómputo de área y prelación frente a otros alivios.</w:t>
      </w:r>
    </w:p>
    <w:p w14:paraId="7F89A3FD" w14:textId="77777777" w:rsidR="0009720F" w:rsidRDefault="0009720F" w:rsidP="0009720F">
      <w:pPr>
        <w:spacing w:line="360" w:lineRule="auto"/>
        <w:jc w:val="both"/>
        <w:rPr>
          <w:rFonts w:ascii="Aptos" w:hAnsi="Aptos" w:cs="Times New Roman"/>
        </w:rPr>
      </w:pPr>
    </w:p>
    <w:p w14:paraId="699CFCBB" w14:textId="77777777" w:rsidR="0009720F" w:rsidRPr="0009720F" w:rsidRDefault="0009720F" w:rsidP="0009720F">
      <w:pPr>
        <w:spacing w:line="360" w:lineRule="auto"/>
        <w:jc w:val="both"/>
        <w:rPr>
          <w:rFonts w:ascii="Aptos" w:hAnsi="Aptos" w:cs="Times New Roman"/>
        </w:rPr>
      </w:pPr>
    </w:p>
    <w:p w14:paraId="7E9B5859" w14:textId="77777777" w:rsidR="0009720F" w:rsidRPr="0009720F" w:rsidRDefault="0009720F" w:rsidP="0009720F">
      <w:pPr>
        <w:spacing w:line="360" w:lineRule="auto"/>
        <w:jc w:val="both"/>
        <w:rPr>
          <w:rFonts w:ascii="Aptos" w:hAnsi="Aptos" w:cs="Times New Roman"/>
          <w:b/>
          <w:bCs/>
          <w:sz w:val="32"/>
          <w:szCs w:val="32"/>
        </w:rPr>
      </w:pPr>
      <w:r w:rsidRPr="0009720F">
        <w:rPr>
          <w:rFonts w:ascii="Aptos" w:hAnsi="Aptos" w:cs="Times New Roman"/>
          <w:b/>
          <w:bCs/>
          <w:sz w:val="32"/>
          <w:szCs w:val="32"/>
        </w:rPr>
        <w:lastRenderedPageBreak/>
        <w:t>Recomendaciones</w:t>
      </w:r>
    </w:p>
    <w:p w14:paraId="28994ACA" w14:textId="77777777" w:rsidR="0009720F" w:rsidRPr="0009720F" w:rsidRDefault="0009720F" w:rsidP="0009720F">
      <w:pPr>
        <w:numPr>
          <w:ilvl w:val="0"/>
          <w:numId w:val="8"/>
        </w:numPr>
        <w:spacing w:line="360" w:lineRule="auto"/>
        <w:jc w:val="both"/>
        <w:rPr>
          <w:rFonts w:ascii="Aptos" w:hAnsi="Aptos" w:cs="Times New Roman"/>
        </w:rPr>
      </w:pPr>
      <w:r w:rsidRPr="0009720F">
        <w:rPr>
          <w:rFonts w:ascii="Aptos" w:hAnsi="Aptos" w:cs="Times New Roman"/>
        </w:rPr>
        <w:t>Actualizar la tabla de destinos conforme a la Resolución 2025060163216 (LADM-COL v4.1) y armonizar integralmente con la Resolución 1040 de 2023.</w:t>
      </w:r>
    </w:p>
    <w:p w14:paraId="1BD6F5FC" w14:textId="77777777" w:rsidR="0009720F" w:rsidRPr="0009720F" w:rsidRDefault="0009720F" w:rsidP="0009720F">
      <w:pPr>
        <w:numPr>
          <w:ilvl w:val="0"/>
          <w:numId w:val="8"/>
        </w:numPr>
        <w:spacing w:line="360" w:lineRule="auto"/>
        <w:jc w:val="both"/>
        <w:rPr>
          <w:rFonts w:ascii="Aptos" w:hAnsi="Aptos" w:cs="Times New Roman"/>
        </w:rPr>
      </w:pPr>
      <w:r w:rsidRPr="0009720F">
        <w:rPr>
          <w:rFonts w:ascii="Aptos" w:hAnsi="Aptos" w:cs="Times New Roman"/>
        </w:rPr>
        <w:t>Definir reglas de rezago y gradualidad (topes anuales, metodología y transición por etapas).</w:t>
      </w:r>
    </w:p>
    <w:p w14:paraId="20A78CC8" w14:textId="5E03903A" w:rsidR="0009720F" w:rsidRPr="0009720F" w:rsidRDefault="0009720F" w:rsidP="0009720F">
      <w:pPr>
        <w:numPr>
          <w:ilvl w:val="0"/>
          <w:numId w:val="8"/>
        </w:numPr>
        <w:spacing w:line="360" w:lineRule="auto"/>
        <w:jc w:val="both"/>
        <w:rPr>
          <w:rFonts w:ascii="Aptos" w:hAnsi="Aptos" w:cs="Times New Roman"/>
        </w:rPr>
      </w:pPr>
      <w:r w:rsidRPr="0009720F">
        <w:rPr>
          <w:rFonts w:ascii="Aptos" w:hAnsi="Aptos" w:cs="Times New Roman"/>
        </w:rPr>
        <w:t xml:space="preserve">Predial compensatorio: asegurar coherencia entre </w:t>
      </w:r>
      <w:r w:rsidRPr="0009720F">
        <w:rPr>
          <w:rFonts w:ascii="Aptos" w:hAnsi="Aptos" w:cs="Times New Roman"/>
        </w:rPr>
        <w:t>auto avalúo</w:t>
      </w:r>
      <w:r w:rsidRPr="0009720F">
        <w:rPr>
          <w:rFonts w:ascii="Aptos" w:hAnsi="Aptos" w:cs="Times New Roman"/>
        </w:rPr>
        <w:t xml:space="preserve"> mínimo y clasificación tarifaria; publicar instructivo operativo.</w:t>
      </w:r>
    </w:p>
    <w:p w14:paraId="56D08C07" w14:textId="77777777" w:rsidR="0009720F" w:rsidRPr="0009720F" w:rsidRDefault="0009720F" w:rsidP="0009720F">
      <w:pPr>
        <w:numPr>
          <w:ilvl w:val="0"/>
          <w:numId w:val="8"/>
        </w:numPr>
        <w:spacing w:line="360" w:lineRule="auto"/>
        <w:jc w:val="both"/>
        <w:rPr>
          <w:rFonts w:ascii="Aptos" w:hAnsi="Aptos" w:cs="Times New Roman"/>
        </w:rPr>
      </w:pPr>
      <w:r w:rsidRPr="0009720F">
        <w:rPr>
          <w:rFonts w:ascii="Aptos" w:hAnsi="Aptos" w:cs="Times New Roman"/>
        </w:rPr>
        <w:t>Revisar el pronto pago para garantizar coherencia con el esquema de pago trimestral y la planeación de caja.</w:t>
      </w:r>
      <w:r w:rsidRPr="0009720F">
        <w:rPr>
          <w:rFonts w:ascii="Aptos" w:hAnsi="Aptos"/>
        </w:rPr>
        <w:t xml:space="preserve"> </w:t>
      </w:r>
    </w:p>
    <w:p w14:paraId="1998CB4D" w14:textId="77777777" w:rsidR="0009720F" w:rsidRPr="0009720F" w:rsidRDefault="0009720F" w:rsidP="0009720F">
      <w:pPr>
        <w:numPr>
          <w:ilvl w:val="0"/>
          <w:numId w:val="8"/>
        </w:numPr>
        <w:spacing w:line="360" w:lineRule="auto"/>
        <w:jc w:val="both"/>
        <w:rPr>
          <w:rFonts w:ascii="Aptos" w:hAnsi="Aptos" w:cs="Times New Roman"/>
        </w:rPr>
      </w:pPr>
      <w:r w:rsidRPr="0009720F">
        <w:rPr>
          <w:rFonts w:ascii="Aptos" w:hAnsi="Aptos" w:cs="Times New Roman"/>
        </w:rPr>
        <w:t>Precisar requisitos procedimentales para el acceso a beneficios y exenciones, para lograr una aplicación uniforme, reducir controversias y esclarecer el impacto fiscal de los beneficios tributarios otorgados por concepto de IPU.</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8E25" w14:textId="77777777" w:rsidR="00402A26" w:rsidRDefault="00402A26" w:rsidP="00707E60">
      <w:pPr>
        <w:spacing w:after="0" w:line="240" w:lineRule="auto"/>
      </w:pPr>
      <w:r>
        <w:separator/>
      </w:r>
    </w:p>
  </w:endnote>
  <w:endnote w:type="continuationSeparator" w:id="0">
    <w:p w14:paraId="71CA1474" w14:textId="77777777" w:rsidR="00402A26" w:rsidRDefault="00402A26"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8897" w14:textId="77777777" w:rsidR="00402A26" w:rsidRDefault="00402A26" w:rsidP="00707E60">
      <w:pPr>
        <w:spacing w:after="0" w:line="240" w:lineRule="auto"/>
      </w:pPr>
      <w:r>
        <w:separator/>
      </w:r>
    </w:p>
  </w:footnote>
  <w:footnote w:type="continuationSeparator" w:id="0">
    <w:p w14:paraId="1226751B" w14:textId="77777777" w:rsidR="00402A26" w:rsidRDefault="00402A26"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46167BD"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601892">
                            <w:rPr>
                              <w:color w:val="000000" w:themeColor="text1"/>
                              <w:sz w:val="28"/>
                              <w:szCs w:val="28"/>
                            </w:rPr>
                            <w:t>Angostura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46167BD"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601892">
                      <w:rPr>
                        <w:color w:val="000000" w:themeColor="text1"/>
                        <w:sz w:val="28"/>
                        <w:szCs w:val="28"/>
                      </w:rPr>
                      <w:t>Angostura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E4F7F"/>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D2548"/>
    <w:multiLevelType w:val="multilevel"/>
    <w:tmpl w:val="EB84E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E66B70"/>
    <w:multiLevelType w:val="multilevel"/>
    <w:tmpl w:val="E1D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C1FCC"/>
    <w:multiLevelType w:val="multilevel"/>
    <w:tmpl w:val="10F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3"/>
  </w:num>
  <w:num w:numId="2" w16cid:durableId="1017347282">
    <w:abstractNumId w:val="6"/>
  </w:num>
  <w:num w:numId="3" w16cid:durableId="44450645">
    <w:abstractNumId w:val="7"/>
  </w:num>
  <w:num w:numId="4" w16cid:durableId="1953855267">
    <w:abstractNumId w:val="0"/>
  </w:num>
  <w:num w:numId="5" w16cid:durableId="1994143120">
    <w:abstractNumId w:val="5"/>
  </w:num>
  <w:num w:numId="6" w16cid:durableId="158348616">
    <w:abstractNumId w:val="1"/>
  </w:num>
  <w:num w:numId="7" w16cid:durableId="1765494336">
    <w:abstractNumId w:val="2"/>
  </w:num>
  <w:num w:numId="8" w16cid:durableId="616764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9720F"/>
    <w:rsid w:val="00120797"/>
    <w:rsid w:val="00134527"/>
    <w:rsid w:val="00211E44"/>
    <w:rsid w:val="0023618C"/>
    <w:rsid w:val="003650D0"/>
    <w:rsid w:val="003A7CEA"/>
    <w:rsid w:val="003E2241"/>
    <w:rsid w:val="00402A26"/>
    <w:rsid w:val="004107CA"/>
    <w:rsid w:val="00495C9C"/>
    <w:rsid w:val="005422DF"/>
    <w:rsid w:val="005D08ED"/>
    <w:rsid w:val="005F7A75"/>
    <w:rsid w:val="00601892"/>
    <w:rsid w:val="00605B4C"/>
    <w:rsid w:val="00665846"/>
    <w:rsid w:val="006A249B"/>
    <w:rsid w:val="00707E60"/>
    <w:rsid w:val="00813F67"/>
    <w:rsid w:val="00844CC8"/>
    <w:rsid w:val="00845F02"/>
    <w:rsid w:val="00855468"/>
    <w:rsid w:val="009D1F9E"/>
    <w:rsid w:val="00A27409"/>
    <w:rsid w:val="00A456B7"/>
    <w:rsid w:val="00A55C9A"/>
    <w:rsid w:val="00A60686"/>
    <w:rsid w:val="00A96461"/>
    <w:rsid w:val="00AA7DD4"/>
    <w:rsid w:val="00C04706"/>
    <w:rsid w:val="00C942B0"/>
    <w:rsid w:val="00D37EF2"/>
    <w:rsid w:val="00D67FC1"/>
    <w:rsid w:val="00DB14E5"/>
    <w:rsid w:val="00DD0016"/>
    <w:rsid w:val="00E20840"/>
    <w:rsid w:val="00E608BE"/>
    <w:rsid w:val="00F27231"/>
    <w:rsid w:val="00F65205"/>
    <w:rsid w:val="00FB62B6"/>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8</cp:revision>
  <dcterms:created xsi:type="dcterms:W3CDTF">2025-10-23T17:12:00Z</dcterms:created>
  <dcterms:modified xsi:type="dcterms:W3CDTF">2025-11-04T14:58:00Z</dcterms:modified>
</cp:coreProperties>
</file>