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921D196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C5808">
        <w:rPr>
          <w:color w:val="000000" w:themeColor="text1"/>
          <w:sz w:val="44"/>
          <w:szCs w:val="44"/>
        </w:rPr>
        <w:t>Arboletes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6A36D8BD" w14:textId="77777777" w:rsidR="003B599D" w:rsidRPr="003B599D" w:rsidRDefault="003B599D" w:rsidP="003B599D">
      <w:pPr>
        <w:spacing w:line="360" w:lineRule="auto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lastRenderedPageBreak/>
        <w:t>El estado actual de su normatividad tributaria se establece en el Acuerdo 014 de 2021.</w:t>
      </w:r>
    </w:p>
    <w:p w14:paraId="5525CB16" w14:textId="77777777" w:rsidR="003B599D" w:rsidRPr="003B599D" w:rsidRDefault="003B599D" w:rsidP="003B599D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3B599D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25ECF192" w14:textId="77777777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0DFC3B12" w14:textId="2D0E09E5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 xml:space="preserve">La base gravable permite </w:t>
      </w:r>
      <w:r w:rsidRPr="003B599D">
        <w:rPr>
          <w:rFonts w:ascii="Aptos" w:hAnsi="Aptos" w:cs="Times New Roman"/>
        </w:rPr>
        <w:t>auto avalúo</w:t>
      </w:r>
      <w:r w:rsidRPr="003B599D">
        <w:rPr>
          <w:rFonts w:ascii="Aptos" w:hAnsi="Aptos" w:cs="Times New Roman"/>
        </w:rPr>
        <w:t xml:space="preserve"> previa aprobación de la Gerencia de Catastro/autoridad competente.</w:t>
      </w:r>
    </w:p>
    <w:p w14:paraId="2072CA87" w14:textId="77777777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La determinación por factura y la notificación (cartelera y web) están previstas.</w:t>
      </w:r>
    </w:p>
    <w:p w14:paraId="6ED05E3A" w14:textId="77777777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La definición de sujetos pasivos incorpora arrendatarios, usuarios, usufructuarios y concesionarios con bases especiales (canon, pericia, proporcionalidad por áreas).</w:t>
      </w:r>
    </w:p>
    <w:p w14:paraId="4ABBD852" w14:textId="77777777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 xml:space="preserve">El “porcentaje ambiental” del 15% se concibe como traslado sobre el recaudo total del IPU </w:t>
      </w:r>
    </w:p>
    <w:p w14:paraId="2366A85E" w14:textId="77777777" w:rsidR="003B599D" w:rsidRPr="003B599D" w:rsidRDefault="003B599D" w:rsidP="003B599D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Beneficios, exenciones y prohibiciones con enfoque ambiental o de uso del suelo: en la “causación” se listan múltiples bienes “no sujetos” (uso público, bomberos, educación pública, salud pública, templos), mezclando exclusiones del hecho imponible con exenciones materiales.</w:t>
      </w:r>
    </w:p>
    <w:p w14:paraId="3455EB2D" w14:textId="77777777" w:rsidR="003B599D" w:rsidRPr="003B599D" w:rsidRDefault="003B599D" w:rsidP="003B599D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3B599D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5F2BECB2" w14:textId="77777777" w:rsidR="003B599D" w:rsidRPr="003B599D" w:rsidRDefault="003B599D" w:rsidP="003B599D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33245037" w14:textId="77777777" w:rsidR="003B599D" w:rsidRPr="003B599D" w:rsidRDefault="003B599D" w:rsidP="003B599D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Reestructurar la matriz tarifaria para alinear rótulos y categorías al LADM-COL v4.1.</w:t>
      </w:r>
    </w:p>
    <w:p w14:paraId="132628DF" w14:textId="77777777" w:rsidR="003B599D" w:rsidRPr="003B599D" w:rsidRDefault="003B599D" w:rsidP="003B599D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t>Incorporar reglas de límites y un esquema de transición/gradualidad que cubra actualización y rezago catastral, y precisar la aplicación de esos límites cuando el incremento provenga de cambios de tarifa y atarlo con los demás tributos atados al avalúo.</w:t>
      </w:r>
    </w:p>
    <w:p w14:paraId="39FAB327" w14:textId="3F9E17A2" w:rsidR="003B599D" w:rsidRPr="003B599D" w:rsidRDefault="003B599D" w:rsidP="003B599D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3B599D">
        <w:rPr>
          <w:rFonts w:ascii="Aptos" w:hAnsi="Aptos" w:cs="Times New Roman"/>
        </w:rPr>
        <w:lastRenderedPageBreak/>
        <w:t xml:space="preserve">Reglamentar el </w:t>
      </w:r>
      <w:r w:rsidRPr="003B599D">
        <w:rPr>
          <w:rFonts w:ascii="Aptos" w:hAnsi="Aptos" w:cs="Times New Roman"/>
        </w:rPr>
        <w:t>auto avalúo</w:t>
      </w:r>
      <w:r w:rsidRPr="003B599D">
        <w:rPr>
          <w:rFonts w:ascii="Aptos" w:hAnsi="Aptos" w:cs="Times New Roman"/>
        </w:rPr>
        <w:t xml:space="preserve"> con base mínima sustentada en valores unitarios oficiales, procedimiento probatorio, tratamiento para no formados y controles de consistencia con la autoridad catastral.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6FF41" w14:textId="77777777" w:rsidR="00661578" w:rsidRDefault="00661578" w:rsidP="00707E60">
      <w:pPr>
        <w:spacing w:after="0" w:line="240" w:lineRule="auto"/>
      </w:pPr>
      <w:r>
        <w:separator/>
      </w:r>
    </w:p>
  </w:endnote>
  <w:endnote w:type="continuationSeparator" w:id="0">
    <w:p w14:paraId="123FE236" w14:textId="77777777" w:rsidR="00661578" w:rsidRDefault="0066157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E575" w14:textId="77777777" w:rsidR="00661578" w:rsidRDefault="00661578" w:rsidP="00707E60">
      <w:pPr>
        <w:spacing w:after="0" w:line="240" w:lineRule="auto"/>
      </w:pPr>
      <w:r>
        <w:separator/>
      </w:r>
    </w:p>
  </w:footnote>
  <w:footnote w:type="continuationSeparator" w:id="0">
    <w:p w14:paraId="78CF13BE" w14:textId="77777777" w:rsidR="00661578" w:rsidRDefault="0066157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5C2061F1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2C5808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Arboletes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5C2061F1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2C5808">
                      <w:rPr>
                        <w:color w:val="000000" w:themeColor="text1"/>
                        <w:sz w:val="28"/>
                        <w:szCs w:val="28"/>
                      </w:rPr>
                      <w:t>Arboletes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2A4"/>
    <w:multiLevelType w:val="multilevel"/>
    <w:tmpl w:val="058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9F7"/>
    <w:multiLevelType w:val="multilevel"/>
    <w:tmpl w:val="67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3B35"/>
    <w:multiLevelType w:val="multilevel"/>
    <w:tmpl w:val="36A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539E3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84DE7"/>
    <w:multiLevelType w:val="multilevel"/>
    <w:tmpl w:val="D8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F7B2C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4"/>
  </w:num>
  <w:num w:numId="2" w16cid:durableId="1017347282">
    <w:abstractNumId w:val="5"/>
  </w:num>
  <w:num w:numId="3" w16cid:durableId="139880706">
    <w:abstractNumId w:val="9"/>
  </w:num>
  <w:num w:numId="4" w16cid:durableId="1002395279">
    <w:abstractNumId w:val="3"/>
  </w:num>
  <w:num w:numId="5" w16cid:durableId="74599418">
    <w:abstractNumId w:val="7"/>
  </w:num>
  <w:num w:numId="6" w16cid:durableId="738556425">
    <w:abstractNumId w:val="1"/>
  </w:num>
  <w:num w:numId="7" w16cid:durableId="149954625">
    <w:abstractNumId w:val="6"/>
  </w:num>
  <w:num w:numId="8" w16cid:durableId="1103109470">
    <w:abstractNumId w:val="8"/>
  </w:num>
  <w:num w:numId="9" w16cid:durableId="1536189407">
    <w:abstractNumId w:val="0"/>
  </w:num>
  <w:num w:numId="10" w16cid:durableId="845362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63ED2"/>
    <w:rsid w:val="00084B98"/>
    <w:rsid w:val="000F6735"/>
    <w:rsid w:val="00120797"/>
    <w:rsid w:val="00134527"/>
    <w:rsid w:val="002038BA"/>
    <w:rsid w:val="00211E44"/>
    <w:rsid w:val="0023618C"/>
    <w:rsid w:val="002C5808"/>
    <w:rsid w:val="003154C0"/>
    <w:rsid w:val="00340F0A"/>
    <w:rsid w:val="003650D0"/>
    <w:rsid w:val="003A7CEA"/>
    <w:rsid w:val="003B599D"/>
    <w:rsid w:val="003E2241"/>
    <w:rsid w:val="004107CA"/>
    <w:rsid w:val="004A3A13"/>
    <w:rsid w:val="005422DF"/>
    <w:rsid w:val="0059338F"/>
    <w:rsid w:val="005C20CA"/>
    <w:rsid w:val="005F7A75"/>
    <w:rsid w:val="00605B4C"/>
    <w:rsid w:val="00661578"/>
    <w:rsid w:val="00665846"/>
    <w:rsid w:val="006A249B"/>
    <w:rsid w:val="00707E60"/>
    <w:rsid w:val="007A49F6"/>
    <w:rsid w:val="00813F67"/>
    <w:rsid w:val="0084474E"/>
    <w:rsid w:val="00844CC8"/>
    <w:rsid w:val="00845F02"/>
    <w:rsid w:val="00912DFC"/>
    <w:rsid w:val="00963712"/>
    <w:rsid w:val="009714F4"/>
    <w:rsid w:val="009D1F9E"/>
    <w:rsid w:val="00A27409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C969A1"/>
    <w:rsid w:val="00D37EF2"/>
    <w:rsid w:val="00DB14E5"/>
    <w:rsid w:val="00E20840"/>
    <w:rsid w:val="00E52944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character" w:styleId="Strong">
    <w:name w:val="Strong"/>
    <w:basedOn w:val="DefaultParagraphFont"/>
    <w:uiPriority w:val="22"/>
    <w:qFormat/>
    <w:rsid w:val="0096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17</cp:revision>
  <dcterms:created xsi:type="dcterms:W3CDTF">2025-10-23T17:12:00Z</dcterms:created>
  <dcterms:modified xsi:type="dcterms:W3CDTF">2025-11-04T16:30:00Z</dcterms:modified>
</cp:coreProperties>
</file>