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261A89DA"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9D1788">
        <w:rPr>
          <w:color w:val="000000" w:themeColor="text1"/>
          <w:sz w:val="44"/>
          <w:szCs w:val="44"/>
        </w:rPr>
        <w:t>Belmira</w:t>
      </w:r>
      <w:r w:rsidR="00BE3801">
        <w:rPr>
          <w:color w:val="000000" w:themeColor="text1"/>
          <w:sz w:val="44"/>
          <w:szCs w:val="44"/>
        </w:rPr>
        <w:t xml:space="preserve"> </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7B58690E" w14:textId="77777777" w:rsidR="009D1788" w:rsidRPr="009D1788" w:rsidRDefault="009D1788" w:rsidP="009D1788">
      <w:pPr>
        <w:spacing w:line="360" w:lineRule="auto"/>
        <w:jc w:val="both"/>
        <w:rPr>
          <w:rFonts w:ascii="Aptos" w:hAnsi="Aptos" w:cs="Times New Roman"/>
        </w:rPr>
      </w:pPr>
      <w:r w:rsidRPr="009D1788">
        <w:rPr>
          <w:rFonts w:ascii="Aptos" w:hAnsi="Aptos" w:cs="Times New Roman"/>
        </w:rPr>
        <w:lastRenderedPageBreak/>
        <w:t xml:space="preserve">El estado actual de su normatividad tributaria se establece en el acuerdo: 010 de 2018, modificado por el acuerdo 015 de 2021. </w:t>
      </w:r>
    </w:p>
    <w:p w14:paraId="09C33560" w14:textId="77777777" w:rsidR="009D1788" w:rsidRPr="009D1788" w:rsidRDefault="009D1788" w:rsidP="009D1788">
      <w:pPr>
        <w:spacing w:line="360" w:lineRule="auto"/>
        <w:jc w:val="both"/>
        <w:rPr>
          <w:rFonts w:ascii="Aptos" w:hAnsi="Aptos" w:cs="Times New Roman"/>
          <w:b/>
          <w:bCs/>
          <w:sz w:val="32"/>
          <w:szCs w:val="32"/>
        </w:rPr>
      </w:pPr>
      <w:r w:rsidRPr="009D1788">
        <w:rPr>
          <w:rFonts w:ascii="Aptos" w:hAnsi="Aptos" w:cs="Times New Roman"/>
          <w:b/>
          <w:bCs/>
          <w:sz w:val="32"/>
          <w:szCs w:val="32"/>
        </w:rPr>
        <w:t>Hallazgos</w:t>
      </w:r>
    </w:p>
    <w:p w14:paraId="20E35DF2" w14:textId="77777777" w:rsidR="009D1788" w:rsidRPr="009D1788" w:rsidRDefault="009D1788" w:rsidP="009D1788">
      <w:pPr>
        <w:numPr>
          <w:ilvl w:val="0"/>
          <w:numId w:val="9"/>
        </w:numPr>
        <w:spacing w:line="360" w:lineRule="auto"/>
        <w:jc w:val="both"/>
        <w:rPr>
          <w:rFonts w:ascii="Aptos" w:hAnsi="Aptos" w:cs="Times New Roman"/>
        </w:rPr>
      </w:pPr>
      <w:r w:rsidRPr="009D1788">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 En Belmira, el Acuerdo 015 de 2021 adoptó una tabla basada en LADM-COL 4.0; la versión vigente es 4.01, lo que genera desfase.</w:t>
      </w:r>
    </w:p>
    <w:p w14:paraId="4D97DDFC" w14:textId="77777777" w:rsidR="009D1788" w:rsidRPr="009D1788" w:rsidRDefault="009D1788" w:rsidP="009D1788">
      <w:pPr>
        <w:numPr>
          <w:ilvl w:val="0"/>
          <w:numId w:val="9"/>
        </w:numPr>
        <w:spacing w:line="360" w:lineRule="auto"/>
        <w:jc w:val="both"/>
        <w:rPr>
          <w:rFonts w:ascii="Aptos" w:hAnsi="Aptos" w:cs="Times New Roman"/>
        </w:rPr>
      </w:pPr>
      <w:r w:rsidRPr="009D1788">
        <w:rPr>
          <w:rFonts w:ascii="Aptos" w:hAnsi="Aptos" w:cs="Times New Roman"/>
        </w:rPr>
        <w:t>Se acoge el artículo 6 de la Ley 44 de 1990 como límite al incremento del IPU, sin reglas específicas para rezago catastral u otros eventos de actualización, con riesgo de variaciones desproporcionadas.</w:t>
      </w:r>
    </w:p>
    <w:p w14:paraId="562BFAEA" w14:textId="77777777" w:rsidR="009D1788" w:rsidRPr="009D1788" w:rsidRDefault="009D1788" w:rsidP="009D1788">
      <w:pPr>
        <w:numPr>
          <w:ilvl w:val="0"/>
          <w:numId w:val="9"/>
        </w:numPr>
        <w:spacing w:line="360" w:lineRule="auto"/>
        <w:jc w:val="both"/>
        <w:rPr>
          <w:rFonts w:ascii="Aptos" w:hAnsi="Aptos" w:cs="Times New Roman"/>
        </w:rPr>
      </w:pPr>
      <w:r w:rsidRPr="009D1788">
        <w:rPr>
          <w:rFonts w:ascii="Aptos" w:hAnsi="Aptos" w:cs="Times New Roman"/>
        </w:rPr>
        <w:t>Elementos del tributo definidos conforme a la Ley 1430 de 2010 (naturaleza, hecho generador, sujetos) y solidaridad en el pago entre propietario y poseedor; se prevén exclusiones para iglesias católicas y otros cultos.</w:t>
      </w:r>
    </w:p>
    <w:p w14:paraId="7045D233" w14:textId="77777777" w:rsidR="009D1788" w:rsidRPr="009D1788" w:rsidRDefault="009D1788" w:rsidP="009D1788">
      <w:pPr>
        <w:numPr>
          <w:ilvl w:val="0"/>
          <w:numId w:val="9"/>
        </w:numPr>
        <w:spacing w:line="360" w:lineRule="auto"/>
        <w:jc w:val="both"/>
        <w:rPr>
          <w:rFonts w:ascii="Aptos" w:hAnsi="Aptos" w:cs="Times New Roman"/>
        </w:rPr>
      </w:pPr>
      <w:r w:rsidRPr="009D1788">
        <w:rPr>
          <w:rFonts w:ascii="Aptos" w:hAnsi="Aptos" w:cs="Times New Roman"/>
        </w:rPr>
        <w:t>Clasificación general de predios y matriz tarifaria por destinos económicos, actualizada por el Acuerdo 015 de 2021 con rangos de avalúo y tarifas progresivas.</w:t>
      </w:r>
    </w:p>
    <w:p w14:paraId="419DDDA5" w14:textId="77777777" w:rsidR="009D1788" w:rsidRPr="009D1788" w:rsidRDefault="009D1788" w:rsidP="009D1788">
      <w:pPr>
        <w:numPr>
          <w:ilvl w:val="0"/>
          <w:numId w:val="9"/>
        </w:numPr>
        <w:spacing w:line="360" w:lineRule="auto"/>
        <w:jc w:val="both"/>
        <w:rPr>
          <w:rFonts w:ascii="Aptos" w:hAnsi="Aptos" w:cs="Times New Roman"/>
        </w:rPr>
      </w:pPr>
      <w:r w:rsidRPr="009D1788">
        <w:rPr>
          <w:rFonts w:ascii="Aptos" w:hAnsi="Aptos" w:cs="Times New Roman"/>
        </w:rPr>
        <w:t>Calendario tributario y facturación definidos anualmente por resolución; determinación oficial vía factura.</w:t>
      </w:r>
    </w:p>
    <w:p w14:paraId="604CEB2A" w14:textId="77777777" w:rsidR="009D1788" w:rsidRPr="009D1788" w:rsidRDefault="009D1788" w:rsidP="009D1788">
      <w:pPr>
        <w:numPr>
          <w:ilvl w:val="0"/>
          <w:numId w:val="9"/>
        </w:numPr>
        <w:spacing w:line="360" w:lineRule="auto"/>
        <w:jc w:val="both"/>
        <w:rPr>
          <w:rFonts w:ascii="Aptos" w:hAnsi="Aptos" w:cs="Times New Roman"/>
        </w:rPr>
      </w:pPr>
      <w:r w:rsidRPr="009D1788">
        <w:rPr>
          <w:rFonts w:ascii="Aptos" w:hAnsi="Aptos" w:cs="Times New Roman"/>
        </w:rPr>
        <w:t>Exenciones: Defensa Civil, ESAL, albergues, guarderías, hogares de ancianos y predios de educación pública oficial. Y posee Incentivos al patrimonio arquitectónico: descuentos 5 %–30 % del impuesto liquidado, según magnitud de las obras de conservación.</w:t>
      </w:r>
    </w:p>
    <w:p w14:paraId="01E69D80" w14:textId="77777777" w:rsidR="009D1788" w:rsidRPr="009D1788" w:rsidRDefault="009D1788" w:rsidP="009D1788">
      <w:pPr>
        <w:numPr>
          <w:ilvl w:val="0"/>
          <w:numId w:val="9"/>
        </w:numPr>
        <w:spacing w:line="360" w:lineRule="auto"/>
        <w:jc w:val="both"/>
        <w:rPr>
          <w:rFonts w:ascii="Aptos" w:hAnsi="Aptos" w:cs="Times New Roman"/>
        </w:rPr>
      </w:pPr>
      <w:r w:rsidRPr="009D1788">
        <w:rPr>
          <w:rFonts w:ascii="Aptos" w:hAnsi="Aptos" w:cs="Times New Roman"/>
        </w:rPr>
        <w:t>Sobretasa ambiental: 1,5‰ sobre avalúo catastral, con destinación a la corporación autónoma.</w:t>
      </w:r>
    </w:p>
    <w:p w14:paraId="0734F8EB" w14:textId="77777777" w:rsidR="009D1788" w:rsidRDefault="009D1788" w:rsidP="009D1788">
      <w:pPr>
        <w:numPr>
          <w:ilvl w:val="0"/>
          <w:numId w:val="9"/>
        </w:numPr>
        <w:spacing w:line="360" w:lineRule="auto"/>
        <w:jc w:val="both"/>
        <w:rPr>
          <w:rFonts w:ascii="Aptos" w:hAnsi="Aptos" w:cs="Times New Roman"/>
        </w:rPr>
      </w:pPr>
      <w:r w:rsidRPr="009D1788">
        <w:rPr>
          <w:rFonts w:ascii="Aptos" w:hAnsi="Aptos" w:cs="Times New Roman"/>
        </w:rPr>
        <w:t>El ET no incorpora tratamientos diferenciados o beneficios por condiciones ambientales</w:t>
      </w:r>
    </w:p>
    <w:p w14:paraId="37AEE788" w14:textId="77777777" w:rsidR="009D1788" w:rsidRPr="009D1788" w:rsidRDefault="009D1788" w:rsidP="009D1788">
      <w:pPr>
        <w:spacing w:line="360" w:lineRule="auto"/>
        <w:ind w:left="360"/>
        <w:jc w:val="both"/>
        <w:rPr>
          <w:rFonts w:ascii="Aptos" w:hAnsi="Aptos" w:cs="Times New Roman"/>
        </w:rPr>
      </w:pPr>
    </w:p>
    <w:p w14:paraId="163DF271" w14:textId="77777777" w:rsidR="009D1788" w:rsidRPr="009D1788" w:rsidRDefault="009D1788" w:rsidP="009D1788">
      <w:pPr>
        <w:spacing w:line="360" w:lineRule="auto"/>
        <w:jc w:val="both"/>
        <w:rPr>
          <w:rFonts w:ascii="Aptos" w:hAnsi="Aptos" w:cs="Times New Roman"/>
          <w:b/>
          <w:bCs/>
          <w:sz w:val="32"/>
          <w:szCs w:val="32"/>
        </w:rPr>
      </w:pPr>
      <w:r w:rsidRPr="009D1788">
        <w:rPr>
          <w:rFonts w:ascii="Aptos" w:hAnsi="Aptos" w:cs="Times New Roman"/>
          <w:b/>
          <w:bCs/>
          <w:sz w:val="32"/>
          <w:szCs w:val="32"/>
        </w:rPr>
        <w:lastRenderedPageBreak/>
        <w:t>Recomendaciones</w:t>
      </w:r>
    </w:p>
    <w:p w14:paraId="618AA3D1" w14:textId="77777777" w:rsidR="009D1788" w:rsidRPr="009D1788" w:rsidRDefault="009D1788" w:rsidP="009D1788">
      <w:pPr>
        <w:numPr>
          <w:ilvl w:val="0"/>
          <w:numId w:val="10"/>
        </w:numPr>
        <w:spacing w:line="360" w:lineRule="auto"/>
        <w:jc w:val="both"/>
        <w:rPr>
          <w:rFonts w:ascii="Aptos" w:hAnsi="Aptos" w:cs="Times New Roman"/>
        </w:rPr>
      </w:pPr>
      <w:r w:rsidRPr="009D1788">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1EBB8486" w14:textId="77777777" w:rsidR="009D1788" w:rsidRPr="009D1788" w:rsidRDefault="009D1788" w:rsidP="009D1788">
      <w:pPr>
        <w:numPr>
          <w:ilvl w:val="0"/>
          <w:numId w:val="10"/>
        </w:numPr>
        <w:spacing w:line="360" w:lineRule="auto"/>
        <w:jc w:val="both"/>
        <w:rPr>
          <w:rFonts w:ascii="Aptos" w:hAnsi="Aptos" w:cs="Times New Roman"/>
        </w:rPr>
      </w:pPr>
      <w:r w:rsidRPr="009D1788">
        <w:rPr>
          <w:rFonts w:ascii="Aptos" w:hAnsi="Aptos" w:cs="Times New Roman"/>
        </w:rPr>
        <w:t>Incorporar límites y reglas de gradualidad específicos para rezago catastral, complementando la remisión al art. 6 de la Ley 44 de 1990, para otorgar seguridad jurídica.</w:t>
      </w:r>
    </w:p>
    <w:p w14:paraId="1AD7C0A7" w14:textId="77777777" w:rsidR="009D1788" w:rsidRPr="009D1788" w:rsidRDefault="009D1788" w:rsidP="009D1788">
      <w:pPr>
        <w:numPr>
          <w:ilvl w:val="0"/>
          <w:numId w:val="10"/>
        </w:numPr>
        <w:spacing w:line="360" w:lineRule="auto"/>
        <w:jc w:val="both"/>
        <w:rPr>
          <w:rFonts w:ascii="Aptos" w:hAnsi="Aptos" w:cs="Times New Roman"/>
        </w:rPr>
      </w:pPr>
      <w:r w:rsidRPr="009D1788">
        <w:rPr>
          <w:rFonts w:ascii="Aptos" w:hAnsi="Aptos" w:cs="Times New Roman"/>
        </w:rPr>
        <w:t>Revisar periódicamente el impacto fiscal de exenciones e incentivos (p. ej., patrimonio arquitectónico) y definir criterios de acceso y permanencia, asegurando sostenibilidad y equilibrio entre estímulos y capacidad fiscal.</w:t>
      </w:r>
    </w:p>
    <w:p w14:paraId="62069471" w14:textId="77777777" w:rsidR="009D1788" w:rsidRPr="009D1788" w:rsidRDefault="009D1788" w:rsidP="009D1788">
      <w:pPr>
        <w:numPr>
          <w:ilvl w:val="0"/>
          <w:numId w:val="10"/>
        </w:numPr>
        <w:spacing w:line="360" w:lineRule="auto"/>
        <w:jc w:val="both"/>
        <w:rPr>
          <w:rFonts w:ascii="Aptos" w:hAnsi="Aptos" w:cs="Times New Roman"/>
        </w:rPr>
      </w:pPr>
      <w:r w:rsidRPr="009D1788">
        <w:rPr>
          <w:rFonts w:ascii="Aptos" w:hAnsi="Aptos" w:cs="Times New Roman"/>
        </w:rPr>
        <w:t>Fortalecer la gestión y notificación tributaria, incluyendo procedimientos de corrección de avalúos y liquidaciones, para mejorar la eficiencia administrativa y la certeza al contribuyente.</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193D0" w14:textId="77777777" w:rsidR="00701CC9" w:rsidRDefault="00701CC9" w:rsidP="00707E60">
      <w:pPr>
        <w:spacing w:after="0" w:line="240" w:lineRule="auto"/>
      </w:pPr>
      <w:r>
        <w:separator/>
      </w:r>
    </w:p>
  </w:endnote>
  <w:endnote w:type="continuationSeparator" w:id="0">
    <w:p w14:paraId="1855E8DC" w14:textId="77777777" w:rsidR="00701CC9" w:rsidRDefault="00701CC9"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F0374" w14:textId="77777777" w:rsidR="00701CC9" w:rsidRDefault="00701CC9" w:rsidP="00707E60">
      <w:pPr>
        <w:spacing w:after="0" w:line="240" w:lineRule="auto"/>
      </w:pPr>
      <w:r>
        <w:separator/>
      </w:r>
    </w:p>
  </w:footnote>
  <w:footnote w:type="continuationSeparator" w:id="0">
    <w:p w14:paraId="11B0E500" w14:textId="77777777" w:rsidR="00701CC9" w:rsidRDefault="00701CC9"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4326582A">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BCC5F24"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9D1788">
                            <w:rPr>
                              <w:color w:val="000000" w:themeColor="text1"/>
                              <w:sz w:val="28"/>
                              <w:szCs w:val="28"/>
                            </w:rPr>
                            <w:t>Belmira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4BCC5F24"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9D1788">
                      <w:rPr>
                        <w:color w:val="000000" w:themeColor="text1"/>
                        <w:sz w:val="28"/>
                        <w:szCs w:val="28"/>
                      </w:rPr>
                      <w:t>Belmira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4"/>
  </w:num>
  <w:num w:numId="2" w16cid:durableId="1017347282">
    <w:abstractNumId w:val="7"/>
  </w:num>
  <w:num w:numId="3" w16cid:durableId="44450645">
    <w:abstractNumId w:val="9"/>
  </w:num>
  <w:num w:numId="4" w16cid:durableId="1953855267">
    <w:abstractNumId w:val="0"/>
  </w:num>
  <w:num w:numId="5" w16cid:durableId="279457733">
    <w:abstractNumId w:val="5"/>
  </w:num>
  <w:num w:numId="6" w16cid:durableId="829055416">
    <w:abstractNumId w:val="1"/>
  </w:num>
  <w:num w:numId="7" w16cid:durableId="1974747392">
    <w:abstractNumId w:val="3"/>
  </w:num>
  <w:num w:numId="8" w16cid:durableId="1342120387">
    <w:abstractNumId w:val="8"/>
  </w:num>
  <w:num w:numId="9" w16cid:durableId="350257001">
    <w:abstractNumId w:val="2"/>
  </w:num>
  <w:num w:numId="10" w16cid:durableId="10781402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1580C"/>
    <w:rsid w:val="003650D0"/>
    <w:rsid w:val="003A7CEA"/>
    <w:rsid w:val="003E2241"/>
    <w:rsid w:val="004107CA"/>
    <w:rsid w:val="005422DF"/>
    <w:rsid w:val="005D08ED"/>
    <w:rsid w:val="005F7A75"/>
    <w:rsid w:val="00605B4C"/>
    <w:rsid w:val="00665846"/>
    <w:rsid w:val="006A249B"/>
    <w:rsid w:val="00701CC9"/>
    <w:rsid w:val="00707E60"/>
    <w:rsid w:val="00723620"/>
    <w:rsid w:val="00813F67"/>
    <w:rsid w:val="00844CC8"/>
    <w:rsid w:val="00845F02"/>
    <w:rsid w:val="00855468"/>
    <w:rsid w:val="009D1788"/>
    <w:rsid w:val="009D1F9E"/>
    <w:rsid w:val="00A27409"/>
    <w:rsid w:val="00A55C9A"/>
    <w:rsid w:val="00A60686"/>
    <w:rsid w:val="00A96461"/>
    <w:rsid w:val="00AA7DD4"/>
    <w:rsid w:val="00BC7035"/>
    <w:rsid w:val="00BE3801"/>
    <w:rsid w:val="00C04706"/>
    <w:rsid w:val="00C24423"/>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7</cp:revision>
  <dcterms:created xsi:type="dcterms:W3CDTF">2025-10-23T17:12:00Z</dcterms:created>
  <dcterms:modified xsi:type="dcterms:W3CDTF">2025-10-24T17:43:00Z</dcterms:modified>
</cp:coreProperties>
</file>