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2FBB335F"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FB62B6">
        <w:rPr>
          <w:color w:val="000000" w:themeColor="text1"/>
          <w:sz w:val="44"/>
          <w:szCs w:val="44"/>
        </w:rPr>
        <w:t>Caicedo</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4AB14C2B" w14:textId="77777777" w:rsidR="00D67FC1" w:rsidRPr="00D67FC1" w:rsidRDefault="00D67FC1" w:rsidP="00D67FC1">
      <w:pPr>
        <w:spacing w:line="360" w:lineRule="auto"/>
        <w:ind w:left="360"/>
        <w:rPr>
          <w:rFonts w:ascii="Aptos" w:hAnsi="Aptos" w:cs="Times New Roman"/>
        </w:rPr>
      </w:pPr>
      <w:r w:rsidRPr="00D67FC1">
        <w:rPr>
          <w:rFonts w:ascii="Aptos" w:hAnsi="Aptos" w:cs="Times New Roman"/>
        </w:rPr>
        <w:lastRenderedPageBreak/>
        <w:t>El estado actual de su normatividad tributaria se establece en el Acuerdo 026 de 2020.</w:t>
      </w:r>
    </w:p>
    <w:p w14:paraId="0EC3DF72" w14:textId="77777777" w:rsidR="00D67FC1" w:rsidRPr="00D67FC1" w:rsidRDefault="00D67FC1" w:rsidP="00D67FC1">
      <w:pPr>
        <w:spacing w:line="360" w:lineRule="auto"/>
        <w:jc w:val="both"/>
        <w:rPr>
          <w:rFonts w:ascii="Aptos" w:hAnsi="Aptos" w:cs="Times New Roman"/>
          <w:b/>
          <w:bCs/>
          <w:sz w:val="32"/>
          <w:szCs w:val="32"/>
        </w:rPr>
      </w:pPr>
      <w:r w:rsidRPr="00D67FC1">
        <w:rPr>
          <w:rFonts w:ascii="Aptos" w:hAnsi="Aptos" w:cs="Times New Roman"/>
          <w:b/>
          <w:bCs/>
          <w:sz w:val="32"/>
          <w:szCs w:val="32"/>
        </w:rPr>
        <w:t>Hallazgos</w:t>
      </w:r>
    </w:p>
    <w:p w14:paraId="0B5FD961" w14:textId="77777777" w:rsidR="00D67FC1" w:rsidRPr="00D67FC1" w:rsidRDefault="00D67FC1" w:rsidP="00D67FC1">
      <w:pPr>
        <w:numPr>
          <w:ilvl w:val="0"/>
          <w:numId w:val="5"/>
        </w:numPr>
        <w:spacing w:line="360" w:lineRule="auto"/>
        <w:jc w:val="both"/>
        <w:rPr>
          <w:rFonts w:ascii="Aptos" w:hAnsi="Aptos" w:cs="Times New Roman"/>
        </w:rPr>
      </w:pPr>
      <w:r w:rsidRPr="00D67FC1">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7232438" w14:textId="1DF31704" w:rsidR="00D67FC1" w:rsidRPr="00D67FC1" w:rsidRDefault="00D67FC1" w:rsidP="00D67FC1">
      <w:pPr>
        <w:numPr>
          <w:ilvl w:val="0"/>
          <w:numId w:val="5"/>
        </w:numPr>
        <w:spacing w:line="360" w:lineRule="auto"/>
        <w:jc w:val="both"/>
        <w:rPr>
          <w:rFonts w:ascii="Aptos" w:hAnsi="Aptos" w:cs="Times New Roman"/>
        </w:rPr>
      </w:pPr>
      <w:r w:rsidRPr="00D67FC1">
        <w:rPr>
          <w:rFonts w:ascii="Aptos" w:hAnsi="Aptos" w:cs="Times New Roman"/>
        </w:rPr>
        <w:t xml:space="preserve">Elementos del IPU definidos (sujeto activo y, hecho generador por existencia del predio, base por avalúo catastral o </w:t>
      </w:r>
      <w:r w:rsidRPr="00D67FC1">
        <w:rPr>
          <w:rFonts w:ascii="Aptos" w:hAnsi="Aptos" w:cs="Times New Roman"/>
        </w:rPr>
        <w:t>auto avalúo</w:t>
      </w:r>
      <w:r w:rsidRPr="00D67FC1">
        <w:rPr>
          <w:rFonts w:ascii="Aptos" w:hAnsi="Aptos" w:cs="Times New Roman"/>
        </w:rPr>
        <w:t xml:space="preserve"> con aprobación catastral, causación anual, liquidación y cobro), pero sin procedimiento operativo claro para la aprobación/verificación del </w:t>
      </w:r>
      <w:r w:rsidRPr="00D67FC1">
        <w:rPr>
          <w:rFonts w:ascii="Aptos" w:hAnsi="Aptos" w:cs="Times New Roman"/>
        </w:rPr>
        <w:t>auto avalúo</w:t>
      </w:r>
      <w:r w:rsidRPr="00D67FC1">
        <w:rPr>
          <w:rFonts w:ascii="Aptos" w:hAnsi="Aptos" w:cs="Times New Roman"/>
        </w:rPr>
        <w:t>.</w:t>
      </w:r>
    </w:p>
    <w:p w14:paraId="1A316B36" w14:textId="77777777" w:rsidR="00D67FC1" w:rsidRPr="00D67FC1" w:rsidRDefault="00D67FC1" w:rsidP="00D67FC1">
      <w:pPr>
        <w:numPr>
          <w:ilvl w:val="0"/>
          <w:numId w:val="5"/>
        </w:numPr>
        <w:spacing w:line="360" w:lineRule="auto"/>
        <w:jc w:val="both"/>
        <w:rPr>
          <w:rFonts w:ascii="Aptos" w:hAnsi="Aptos" w:cs="Times New Roman"/>
        </w:rPr>
      </w:pPr>
      <w:r w:rsidRPr="00D67FC1">
        <w:rPr>
          <w:rFonts w:ascii="Aptos" w:hAnsi="Aptos" w:cs="Times New Roman"/>
        </w:rPr>
        <w:t>Matriz tarifaria con ordinarias entre 5–16×1000 y lotes hasta 33×1000; aparecen tarifas “0” para “servicios especiales” y “predios del municipio” sin motivación técnica ni regla de aplicación.</w:t>
      </w:r>
    </w:p>
    <w:p w14:paraId="74EABBA0" w14:textId="77777777" w:rsidR="00D67FC1" w:rsidRPr="00D67FC1" w:rsidRDefault="00D67FC1" w:rsidP="00D67FC1">
      <w:pPr>
        <w:numPr>
          <w:ilvl w:val="0"/>
          <w:numId w:val="5"/>
        </w:numPr>
        <w:spacing w:line="360" w:lineRule="auto"/>
        <w:jc w:val="both"/>
        <w:rPr>
          <w:rFonts w:ascii="Aptos" w:hAnsi="Aptos" w:cs="Times New Roman"/>
        </w:rPr>
      </w:pPr>
      <w:r w:rsidRPr="00D67FC1">
        <w:rPr>
          <w:rFonts w:ascii="Aptos" w:hAnsi="Aptos" w:cs="Times New Roman"/>
        </w:rPr>
        <w:t>Límites al impuesto concurrentes: (i) IPC + 8 p.p. para actualización catastral y (ii) variación del 25 % ante cambio de tarifas; además, facultades para ajustar/extender incrementos sin metodología de transición.</w:t>
      </w:r>
    </w:p>
    <w:p w14:paraId="6C2CCE20" w14:textId="77777777" w:rsidR="00D67FC1" w:rsidRPr="00D67FC1" w:rsidRDefault="00D67FC1" w:rsidP="00D67FC1">
      <w:pPr>
        <w:numPr>
          <w:ilvl w:val="0"/>
          <w:numId w:val="5"/>
        </w:numPr>
        <w:spacing w:line="360" w:lineRule="auto"/>
        <w:jc w:val="both"/>
        <w:rPr>
          <w:rFonts w:ascii="Aptos" w:hAnsi="Aptos" w:cs="Times New Roman"/>
        </w:rPr>
      </w:pPr>
      <w:r w:rsidRPr="00D67FC1">
        <w:rPr>
          <w:rFonts w:ascii="Aptos" w:hAnsi="Aptos" w:cs="Times New Roman"/>
        </w:rPr>
        <w:t>Beneficios y exclusiones con enfoque ambiental/uso del suelo: exclusión para parques naturales y parques públicos; descuentos proporcionales por conservación de bosques, nacimientos y fuentes hídricas (con certificación de Planeación); reducción de 2×1000 para zonas de alto riesgo; beneficios por conservación de especies/jardines botánicos con certificación ambiental. Falta definir prelación cuando coinciden alivios, método de cómputo de área y reglas de renovación/pérdida.</w:t>
      </w:r>
    </w:p>
    <w:p w14:paraId="0DEC9C23" w14:textId="77777777" w:rsidR="00D67FC1" w:rsidRPr="00D67FC1" w:rsidRDefault="00D67FC1" w:rsidP="00D67FC1">
      <w:pPr>
        <w:spacing w:line="360" w:lineRule="auto"/>
        <w:jc w:val="both"/>
        <w:rPr>
          <w:rFonts w:ascii="Aptos" w:hAnsi="Aptos" w:cs="Times New Roman"/>
          <w:b/>
          <w:bCs/>
          <w:sz w:val="32"/>
          <w:szCs w:val="32"/>
        </w:rPr>
      </w:pPr>
      <w:r w:rsidRPr="00D67FC1">
        <w:rPr>
          <w:rFonts w:ascii="Aptos" w:hAnsi="Aptos" w:cs="Times New Roman"/>
          <w:b/>
          <w:bCs/>
          <w:sz w:val="32"/>
          <w:szCs w:val="32"/>
        </w:rPr>
        <w:t>Recomendaciones</w:t>
      </w:r>
    </w:p>
    <w:p w14:paraId="492E9D97" w14:textId="77777777" w:rsidR="00D67FC1" w:rsidRPr="00D67FC1" w:rsidRDefault="00D67FC1" w:rsidP="00D67FC1">
      <w:pPr>
        <w:numPr>
          <w:ilvl w:val="0"/>
          <w:numId w:val="6"/>
        </w:numPr>
        <w:spacing w:line="360" w:lineRule="auto"/>
        <w:jc w:val="both"/>
        <w:rPr>
          <w:rFonts w:ascii="Aptos" w:hAnsi="Aptos" w:cs="Times New Roman"/>
        </w:rPr>
      </w:pPr>
      <w:r w:rsidRPr="00D67FC1">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w:t>
      </w:r>
      <w:r w:rsidRPr="00D67FC1">
        <w:rPr>
          <w:rFonts w:ascii="Aptos" w:hAnsi="Aptos" w:cs="Times New Roman"/>
        </w:rPr>
        <w:lastRenderedPageBreak/>
        <w:t>tabla de destinos económicos conforme a la Resolución 2025060163216. Esto garantizará que todos los destinos contemplados en el modelo LADM-COL versión 4.1 cuenten con una tarifa definida, evitando la pérdida de ingresos fiscales.</w:t>
      </w:r>
    </w:p>
    <w:p w14:paraId="1C609082" w14:textId="6E9F56D8" w:rsidR="00D67FC1" w:rsidRPr="00D67FC1" w:rsidRDefault="00D67FC1" w:rsidP="00D67FC1">
      <w:pPr>
        <w:numPr>
          <w:ilvl w:val="0"/>
          <w:numId w:val="6"/>
        </w:numPr>
        <w:spacing w:line="360" w:lineRule="auto"/>
        <w:jc w:val="both"/>
        <w:rPr>
          <w:rFonts w:ascii="Aptos" w:hAnsi="Aptos" w:cs="Times New Roman"/>
        </w:rPr>
      </w:pPr>
      <w:r w:rsidRPr="00D67FC1">
        <w:rPr>
          <w:rFonts w:ascii="Aptos" w:hAnsi="Aptos" w:cs="Times New Roman"/>
        </w:rPr>
        <w:t xml:space="preserve">Precisar los requisitos documentales, la autoridad competente y el control de la aprobación/verificación del </w:t>
      </w:r>
      <w:r w:rsidRPr="00D67FC1">
        <w:rPr>
          <w:rFonts w:ascii="Aptos" w:hAnsi="Aptos" w:cs="Times New Roman"/>
        </w:rPr>
        <w:t>auto avalúo</w:t>
      </w:r>
      <w:r w:rsidRPr="00D67FC1">
        <w:rPr>
          <w:rFonts w:ascii="Aptos" w:hAnsi="Aptos" w:cs="Times New Roman"/>
        </w:rPr>
        <w:t>.</w:t>
      </w:r>
    </w:p>
    <w:p w14:paraId="3F949F39" w14:textId="77777777" w:rsidR="00D67FC1" w:rsidRPr="00D67FC1" w:rsidRDefault="00D67FC1" w:rsidP="00D67FC1">
      <w:pPr>
        <w:numPr>
          <w:ilvl w:val="0"/>
          <w:numId w:val="6"/>
        </w:numPr>
        <w:spacing w:line="360" w:lineRule="auto"/>
        <w:jc w:val="both"/>
        <w:rPr>
          <w:rFonts w:ascii="Aptos" w:hAnsi="Aptos" w:cs="Times New Roman"/>
        </w:rPr>
      </w:pPr>
      <w:r w:rsidRPr="00D67FC1">
        <w:rPr>
          <w:rFonts w:ascii="Aptos" w:hAnsi="Aptos" w:cs="Times New Roman"/>
        </w:rPr>
        <w:t>Establecer una prelación única entre tablas, eliminar duplicidades y justificar cualquier tarifa “0” o especial con criterio técnico.</w:t>
      </w:r>
    </w:p>
    <w:p w14:paraId="43AD18EF" w14:textId="77777777" w:rsidR="00D67FC1" w:rsidRPr="00D67FC1" w:rsidRDefault="00D67FC1" w:rsidP="00D67FC1">
      <w:pPr>
        <w:numPr>
          <w:ilvl w:val="0"/>
          <w:numId w:val="6"/>
        </w:numPr>
        <w:spacing w:line="360" w:lineRule="auto"/>
        <w:jc w:val="both"/>
        <w:rPr>
          <w:rFonts w:ascii="Aptos" w:hAnsi="Aptos" w:cs="Times New Roman"/>
        </w:rPr>
      </w:pPr>
      <w:r w:rsidRPr="00D67FC1">
        <w:rPr>
          <w:rFonts w:ascii="Aptos" w:hAnsi="Aptos" w:cs="Times New Roman"/>
        </w:rPr>
        <w:t>Reglas de gradualidad para los límites del Impuesto Predial Unificado (IPU) que establezcan un esquema de transición, faciliten los procesos de rezago y actualización catastral, y articulen dicha limitación con las sobretasas vinculadas al IPU</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95CDE" w14:textId="77777777" w:rsidR="00495C9C" w:rsidRDefault="00495C9C" w:rsidP="00707E60">
      <w:pPr>
        <w:spacing w:after="0" w:line="240" w:lineRule="auto"/>
      </w:pPr>
      <w:r>
        <w:separator/>
      </w:r>
    </w:p>
  </w:endnote>
  <w:endnote w:type="continuationSeparator" w:id="0">
    <w:p w14:paraId="4A0BCC1B" w14:textId="77777777" w:rsidR="00495C9C" w:rsidRDefault="00495C9C"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DAA37" w14:textId="77777777" w:rsidR="00495C9C" w:rsidRDefault="00495C9C" w:rsidP="00707E60">
      <w:pPr>
        <w:spacing w:after="0" w:line="240" w:lineRule="auto"/>
      </w:pPr>
      <w:r>
        <w:separator/>
      </w:r>
    </w:p>
  </w:footnote>
  <w:footnote w:type="continuationSeparator" w:id="0">
    <w:p w14:paraId="24E8D344" w14:textId="77777777" w:rsidR="00495C9C" w:rsidRDefault="00495C9C"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C44AA56"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FB62B6">
                            <w:rPr>
                              <w:color w:val="000000" w:themeColor="text1"/>
                              <w:sz w:val="28"/>
                              <w:szCs w:val="28"/>
                            </w:rPr>
                            <w:t>Caicedo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C44AA56"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FB62B6">
                      <w:rPr>
                        <w:color w:val="000000" w:themeColor="text1"/>
                        <w:sz w:val="28"/>
                        <w:szCs w:val="28"/>
                      </w:rPr>
                      <w:t>Caicedo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E4F7F"/>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DC1FCC"/>
    <w:multiLevelType w:val="multilevel"/>
    <w:tmpl w:val="10F6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2"/>
  </w:num>
  <w:num w:numId="2" w16cid:durableId="1017347282">
    <w:abstractNumId w:val="4"/>
  </w:num>
  <w:num w:numId="3" w16cid:durableId="44450645">
    <w:abstractNumId w:val="5"/>
  </w:num>
  <w:num w:numId="4" w16cid:durableId="1953855267">
    <w:abstractNumId w:val="0"/>
  </w:num>
  <w:num w:numId="5" w16cid:durableId="1994143120">
    <w:abstractNumId w:val="3"/>
  </w:num>
  <w:num w:numId="6" w16cid:durableId="158348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650D0"/>
    <w:rsid w:val="003A7CEA"/>
    <w:rsid w:val="003E2241"/>
    <w:rsid w:val="004107CA"/>
    <w:rsid w:val="00495C9C"/>
    <w:rsid w:val="005422DF"/>
    <w:rsid w:val="005D08ED"/>
    <w:rsid w:val="005F7A75"/>
    <w:rsid w:val="00605B4C"/>
    <w:rsid w:val="00665846"/>
    <w:rsid w:val="006A249B"/>
    <w:rsid w:val="00707E60"/>
    <w:rsid w:val="00813F67"/>
    <w:rsid w:val="00844CC8"/>
    <w:rsid w:val="00845F02"/>
    <w:rsid w:val="00855468"/>
    <w:rsid w:val="009D1F9E"/>
    <w:rsid w:val="00A27409"/>
    <w:rsid w:val="00A456B7"/>
    <w:rsid w:val="00A55C9A"/>
    <w:rsid w:val="00A60686"/>
    <w:rsid w:val="00A96461"/>
    <w:rsid w:val="00AA7DD4"/>
    <w:rsid w:val="00C04706"/>
    <w:rsid w:val="00C942B0"/>
    <w:rsid w:val="00D37EF2"/>
    <w:rsid w:val="00D67FC1"/>
    <w:rsid w:val="00DB14E5"/>
    <w:rsid w:val="00DD0016"/>
    <w:rsid w:val="00E20840"/>
    <w:rsid w:val="00E608BE"/>
    <w:rsid w:val="00F27231"/>
    <w:rsid w:val="00F65205"/>
    <w:rsid w:val="00FB62B6"/>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6</cp:revision>
  <dcterms:created xsi:type="dcterms:W3CDTF">2025-10-23T17:12:00Z</dcterms:created>
  <dcterms:modified xsi:type="dcterms:W3CDTF">2025-11-04T14:56:00Z</dcterms:modified>
</cp:coreProperties>
</file>