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AD14D53"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4211E5">
        <w:rPr>
          <w:color w:val="000000" w:themeColor="text1"/>
          <w:sz w:val="44"/>
          <w:szCs w:val="44"/>
        </w:rPr>
        <w:t>Caramanta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069CB243" w14:textId="77777777" w:rsidR="00C956B7" w:rsidRPr="00C956B7" w:rsidRDefault="00C956B7" w:rsidP="00C956B7">
      <w:pPr>
        <w:spacing w:line="360" w:lineRule="auto"/>
        <w:jc w:val="both"/>
        <w:rPr>
          <w:rFonts w:ascii="Aptos" w:hAnsi="Aptos" w:cs="Times New Roman"/>
          <w:lang w:val="es-ES"/>
        </w:rPr>
      </w:pPr>
      <w:r w:rsidRPr="00C956B7">
        <w:rPr>
          <w:rFonts w:ascii="Aptos" w:hAnsi="Aptos" w:cs="Times New Roman"/>
          <w:lang w:val="es-ES"/>
        </w:rPr>
        <w:lastRenderedPageBreak/>
        <w:t>El estado actual de su normatividad tributaria se establece en el Acuerdo 018 de 2013.</w:t>
      </w:r>
    </w:p>
    <w:p w14:paraId="446F6A23" w14:textId="77777777" w:rsidR="00C956B7" w:rsidRPr="00C956B7" w:rsidRDefault="00C956B7" w:rsidP="00C956B7">
      <w:pPr>
        <w:spacing w:line="360" w:lineRule="auto"/>
        <w:jc w:val="both"/>
        <w:rPr>
          <w:rFonts w:ascii="Aptos" w:hAnsi="Aptos" w:cs="Times New Roman"/>
          <w:b/>
          <w:bCs/>
          <w:sz w:val="32"/>
          <w:szCs w:val="32"/>
          <w:lang w:val="es-ES"/>
        </w:rPr>
      </w:pPr>
      <w:r w:rsidRPr="00C956B7">
        <w:rPr>
          <w:rFonts w:ascii="Aptos" w:hAnsi="Aptos" w:cs="Times New Roman"/>
          <w:b/>
          <w:bCs/>
          <w:sz w:val="32"/>
          <w:szCs w:val="32"/>
          <w:lang w:val="es-ES"/>
        </w:rPr>
        <w:t>Hallazgos</w:t>
      </w:r>
    </w:p>
    <w:p w14:paraId="0147AA98"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5682F95"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definen sujeto pasivo, hecho generador, base y demás elementos; no se precisa expresamente el sujeto activo, generando posibles vacíos interpretativos.</w:t>
      </w:r>
    </w:p>
    <w:p w14:paraId="78F640F7" w14:textId="027A3071"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 xml:space="preserve">El avalúo catastral es la base; se contemplan </w:t>
      </w:r>
      <w:r w:rsidRPr="00C956B7">
        <w:rPr>
          <w:rFonts w:ascii="Aptos" w:hAnsi="Aptos" w:cs="Times New Roman"/>
          <w:lang w:val="es-ES"/>
        </w:rPr>
        <w:t>auto avalúo</w:t>
      </w:r>
      <w:r w:rsidRPr="00C956B7">
        <w:rPr>
          <w:rFonts w:ascii="Aptos" w:hAnsi="Aptos" w:cs="Times New Roman"/>
          <w:lang w:val="es-ES"/>
        </w:rPr>
        <w:t>, ajustes anuales y revisión dentro de conservación catastral; se requiere ajustar estos procedimientos a la Resolución 1040 de 2023 (hoy se cita normativa previa).</w:t>
      </w:r>
    </w:p>
    <w:p w14:paraId="1A27473B"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La estructura tarifaria establece tarifas entre 1 y 16 por mil y prevé 33 por mil para ciertos lotes en una vigencia pasada; la matriz combina rangos de avalúo y tipologías de manera confusa, facilitando criterios dispares en la liquidación.</w:t>
      </w:r>
    </w:p>
    <w:p w14:paraId="6FE473E1"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prevén límites al incremento tras formación catastral; no existen reglas para rezago ni para procesos de actualización.</w:t>
      </w:r>
    </w:p>
    <w:p w14:paraId="2A3E6996"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consigna un catálogo amplio de exenciones con vigencia de diez años desde la sanción del acuerdo y verificación a cargo de Hacienda.</w:t>
      </w:r>
    </w:p>
    <w:p w14:paraId="37657A15"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excluyen bienes de uso público y reservas naturales.</w:t>
      </w:r>
    </w:p>
    <w:p w14:paraId="4B094242"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El plazo para devolver o compensar pagos en exceso se fija en seis meses, lo cual se indica como contrario al régimen superior citado por el propio texto.</w:t>
      </w:r>
    </w:p>
    <w:p w14:paraId="3D3FB485"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adopta una sobretasa ambiental del 1,5 por mil con giros periódicos a la autoridad ambiental competente.</w:t>
      </w:r>
    </w:p>
    <w:p w14:paraId="4FFD244A"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La sobretasa bomberil del 5 por mil podría, en escenarios de actualización o rezago sin límites, superar proporcionalmente el IPU.</w:t>
      </w:r>
    </w:p>
    <w:p w14:paraId="3D65F9C8"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lastRenderedPageBreak/>
        <w:t>El impuesto de alumbrado público no contempla el tratamiento de predios sin consumo de energía, lo cual requiere actualización local.</w:t>
      </w:r>
    </w:p>
    <w:p w14:paraId="0C2C51C4"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fija una tarifa del 25 por mil para extracción de minerales e hidrocarburos y compañías petroleras; el propio texto señala que desborda la autorización legal vigente.</w:t>
      </w:r>
    </w:p>
    <w:p w14:paraId="1B497318" w14:textId="77777777" w:rsidR="00C956B7" w:rsidRPr="00C956B7" w:rsidRDefault="00C956B7" w:rsidP="00C956B7">
      <w:pPr>
        <w:numPr>
          <w:ilvl w:val="0"/>
          <w:numId w:val="17"/>
        </w:numPr>
        <w:spacing w:line="360" w:lineRule="auto"/>
        <w:jc w:val="both"/>
        <w:rPr>
          <w:rFonts w:ascii="Aptos" w:hAnsi="Aptos" w:cs="Times New Roman"/>
          <w:lang w:val="es-ES"/>
        </w:rPr>
      </w:pPr>
      <w:r w:rsidRPr="00C956B7">
        <w:rPr>
          <w:rFonts w:ascii="Aptos" w:hAnsi="Aptos" w:cs="Times New Roman"/>
          <w:lang w:val="es-ES"/>
        </w:rPr>
        <w:t>Se excluyen reservas naturales del IPU y se adopta una sobretasa ambiental del 1,5 por mil con obligación de transferencias periódicas a la autoridad ambiental.</w:t>
      </w:r>
    </w:p>
    <w:p w14:paraId="6BD11D9B" w14:textId="77777777" w:rsidR="00C956B7" w:rsidRPr="00C956B7" w:rsidRDefault="00C956B7" w:rsidP="00C956B7">
      <w:pPr>
        <w:spacing w:line="360" w:lineRule="auto"/>
        <w:jc w:val="both"/>
        <w:rPr>
          <w:rFonts w:ascii="Aptos" w:hAnsi="Aptos" w:cs="Times New Roman"/>
          <w:b/>
          <w:bCs/>
          <w:sz w:val="32"/>
          <w:szCs w:val="32"/>
          <w:lang w:val="es-ES"/>
        </w:rPr>
      </w:pPr>
      <w:r w:rsidRPr="00C956B7">
        <w:rPr>
          <w:rFonts w:ascii="Aptos" w:hAnsi="Aptos" w:cs="Times New Roman"/>
          <w:b/>
          <w:bCs/>
          <w:sz w:val="32"/>
          <w:szCs w:val="32"/>
          <w:lang w:val="es-ES"/>
        </w:rPr>
        <w:t>Recomendaciones</w:t>
      </w:r>
    </w:p>
    <w:p w14:paraId="5069C4DC"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4B20803"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Incorporar de manera expresa el sujeto activo del tributo para cerrar vacíos y reforzar la exigibilidad.</w:t>
      </w:r>
    </w:p>
    <w:p w14:paraId="3CEA17A2" w14:textId="4F9EB5C1"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 xml:space="preserve">Sustituir referencias de procedimientos catastrales por las de la Resolución 1040 de 2023 y ordenar las reglas de </w:t>
      </w:r>
      <w:r w:rsidRPr="00C956B7">
        <w:rPr>
          <w:rFonts w:ascii="Aptos" w:hAnsi="Aptos" w:cs="Times New Roman"/>
          <w:lang w:val="es-ES"/>
        </w:rPr>
        <w:t>autoevalúo</w:t>
      </w:r>
      <w:r w:rsidRPr="00C956B7">
        <w:rPr>
          <w:rFonts w:ascii="Aptos" w:hAnsi="Aptos" w:cs="Times New Roman"/>
          <w:lang w:val="es-ES"/>
        </w:rPr>
        <w:t>, ajustes y revisión.</w:t>
      </w:r>
    </w:p>
    <w:p w14:paraId="7B9972B2"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Rediseñar la matriz tarifaria para evitar solapamientos; depurar la tarifa condicionada a una vigencia pasada y alinear grupos con la clasificación actual.</w:t>
      </w:r>
    </w:p>
    <w:p w14:paraId="48D2167E"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Definir límites y reglas de gradualidad por rezago y actualización catastral, con topes, metodología y régimen de transición.</w:t>
      </w:r>
    </w:p>
    <w:p w14:paraId="3EB5B4F8"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Precisar la vigencia y control de exenciones: requisitos, documentación y verificación por Hacienda.</w:t>
      </w:r>
    </w:p>
    <w:p w14:paraId="5BEC55B9"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Ajustar el régimen de devoluciones/compensaciones al plazo señalado como referencia normativa superior en el propio texto, para asegurar congruencia.</w:t>
      </w:r>
    </w:p>
    <w:p w14:paraId="14A18CED"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lastRenderedPageBreak/>
        <w:t>Establecer topes o limitaciones para la sobretasa bomberil a fin de evitar que exceda proporcionalmente el IPU.</w:t>
      </w:r>
    </w:p>
    <w:p w14:paraId="14A81719"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Actualizar el alumbrado público para incluir el tratamiento de predios sin consumo de energía y clarificar base, tarifas y procedimiento.</w:t>
      </w:r>
    </w:p>
    <w:p w14:paraId="0F8ADA00" w14:textId="77777777" w:rsidR="00C956B7" w:rsidRPr="00C956B7" w:rsidRDefault="00C956B7" w:rsidP="00C956B7">
      <w:pPr>
        <w:numPr>
          <w:ilvl w:val="0"/>
          <w:numId w:val="18"/>
        </w:numPr>
        <w:spacing w:line="360" w:lineRule="auto"/>
        <w:jc w:val="both"/>
        <w:rPr>
          <w:rFonts w:ascii="Aptos" w:hAnsi="Aptos" w:cs="Times New Roman"/>
          <w:lang w:val="es-ES"/>
        </w:rPr>
      </w:pPr>
      <w:r w:rsidRPr="00C956B7">
        <w:rPr>
          <w:rFonts w:ascii="Aptos" w:hAnsi="Aptos" w:cs="Times New Roman"/>
          <w:lang w:val="es-ES"/>
        </w:rPr>
        <w:t>Revisar la tarifa para extracción de minerales e hidrocarburos, adecuándola a los topes legales.</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8FD6" w14:textId="77777777" w:rsidR="005025F7" w:rsidRDefault="005025F7" w:rsidP="00707E60">
      <w:pPr>
        <w:spacing w:after="0" w:line="240" w:lineRule="auto"/>
      </w:pPr>
      <w:r>
        <w:separator/>
      </w:r>
    </w:p>
  </w:endnote>
  <w:endnote w:type="continuationSeparator" w:id="0">
    <w:p w14:paraId="5138ED14" w14:textId="77777777" w:rsidR="005025F7" w:rsidRDefault="005025F7"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E1F2" w14:textId="77777777" w:rsidR="005025F7" w:rsidRDefault="005025F7" w:rsidP="00707E60">
      <w:pPr>
        <w:spacing w:after="0" w:line="240" w:lineRule="auto"/>
      </w:pPr>
      <w:r>
        <w:separator/>
      </w:r>
    </w:p>
  </w:footnote>
  <w:footnote w:type="continuationSeparator" w:id="0">
    <w:p w14:paraId="2E42D5DD" w14:textId="77777777" w:rsidR="005025F7" w:rsidRDefault="005025F7"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EC94014"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4211E5">
                            <w:rPr>
                              <w:color w:val="000000" w:themeColor="text1"/>
                              <w:sz w:val="28"/>
                              <w:szCs w:val="28"/>
                            </w:rPr>
                            <w:t>Caramanta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EC94014"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4211E5">
                      <w:rPr>
                        <w:color w:val="000000" w:themeColor="text1"/>
                        <w:sz w:val="28"/>
                        <w:szCs w:val="28"/>
                      </w:rPr>
                      <w:t>Caramanta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9"/>
  </w:num>
  <w:num w:numId="3" w16cid:durableId="44450645">
    <w:abstractNumId w:val="14"/>
  </w:num>
  <w:num w:numId="4" w16cid:durableId="1953855267">
    <w:abstractNumId w:val="0"/>
  </w:num>
  <w:num w:numId="5" w16cid:durableId="279457733">
    <w:abstractNumId w:val="6"/>
  </w:num>
  <w:num w:numId="6" w16cid:durableId="829055416">
    <w:abstractNumId w:val="1"/>
  </w:num>
  <w:num w:numId="7" w16cid:durableId="1974747392">
    <w:abstractNumId w:val="4"/>
  </w:num>
  <w:num w:numId="8" w16cid:durableId="1342120387">
    <w:abstractNumId w:val="11"/>
  </w:num>
  <w:num w:numId="9" w16cid:durableId="350257001">
    <w:abstractNumId w:val="3"/>
  </w:num>
  <w:num w:numId="10" w16cid:durableId="1078140204">
    <w:abstractNumId w:val="7"/>
  </w:num>
  <w:num w:numId="11" w16cid:durableId="1792938771">
    <w:abstractNumId w:val="8"/>
  </w:num>
  <w:num w:numId="12" w16cid:durableId="1526560268">
    <w:abstractNumId w:val="15"/>
  </w:num>
  <w:num w:numId="13" w16cid:durableId="684139451">
    <w:abstractNumId w:val="16"/>
  </w:num>
  <w:num w:numId="14" w16cid:durableId="2066485375">
    <w:abstractNumId w:val="17"/>
  </w:num>
  <w:num w:numId="15" w16cid:durableId="1048799774">
    <w:abstractNumId w:val="2"/>
  </w:num>
  <w:num w:numId="16" w16cid:durableId="763765178">
    <w:abstractNumId w:val="10"/>
  </w:num>
  <w:num w:numId="17" w16cid:durableId="1841503235">
    <w:abstractNumId w:val="13"/>
  </w:num>
  <w:num w:numId="18" w16cid:durableId="8509923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4211E5"/>
    <w:rsid w:val="005025F7"/>
    <w:rsid w:val="005422DF"/>
    <w:rsid w:val="005C3FCA"/>
    <w:rsid w:val="005D08ED"/>
    <w:rsid w:val="005F7A75"/>
    <w:rsid w:val="00605B4C"/>
    <w:rsid w:val="00665846"/>
    <w:rsid w:val="006A249B"/>
    <w:rsid w:val="006C7AFA"/>
    <w:rsid w:val="00701CC9"/>
    <w:rsid w:val="00707E60"/>
    <w:rsid w:val="00723620"/>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C956B7"/>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12</cp:revision>
  <dcterms:created xsi:type="dcterms:W3CDTF">2025-10-23T17:12:00Z</dcterms:created>
  <dcterms:modified xsi:type="dcterms:W3CDTF">2025-10-27T19:33:00Z</dcterms:modified>
</cp:coreProperties>
</file>