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1165FE7C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130BDF">
        <w:rPr>
          <w:color w:val="000000" w:themeColor="text1"/>
          <w:sz w:val="44"/>
          <w:szCs w:val="44"/>
        </w:rPr>
        <w:t>Carepa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4F96453D" w14:textId="77777777" w:rsidR="003E760C" w:rsidRPr="003E760C" w:rsidRDefault="003E760C" w:rsidP="003E760C">
      <w:pPr>
        <w:spacing w:line="360" w:lineRule="auto"/>
        <w:jc w:val="both"/>
        <w:rPr>
          <w:rFonts w:ascii="Aptos" w:eastAsia="Arial" w:hAnsi="Aptos"/>
        </w:rPr>
      </w:pPr>
      <w:r w:rsidRPr="003E760C">
        <w:rPr>
          <w:rFonts w:ascii="Aptos" w:eastAsia="Arial" w:hAnsi="Aptos"/>
        </w:rPr>
        <w:lastRenderedPageBreak/>
        <w:t>El estado actual de su normatividad tributaria se establece en los Acuerdos 016 de 2021</w:t>
      </w:r>
      <w:r w:rsidRPr="003E760C">
        <w:rPr>
          <w:rFonts w:ascii="Aptos" w:hAnsi="Aptos"/>
        </w:rPr>
        <w:t>,modificado por el Acuerdo</w:t>
      </w:r>
      <w:r w:rsidRPr="003E760C">
        <w:rPr>
          <w:rFonts w:ascii="Aptos" w:eastAsia="Arial" w:hAnsi="Aptos"/>
        </w:rPr>
        <w:t xml:space="preserve"> 022 de 2024.</w:t>
      </w:r>
    </w:p>
    <w:p w14:paraId="52EB264D" w14:textId="77777777" w:rsidR="003E760C" w:rsidRPr="003E760C" w:rsidRDefault="003E760C" w:rsidP="003E760C">
      <w:pPr>
        <w:spacing w:line="360" w:lineRule="auto"/>
        <w:rPr>
          <w:rFonts w:ascii="Aptos" w:hAnsi="Aptos"/>
          <w:sz w:val="32"/>
          <w:szCs w:val="32"/>
        </w:rPr>
      </w:pPr>
      <w:r w:rsidRPr="003E760C">
        <w:rPr>
          <w:rFonts w:ascii="Aptos" w:eastAsia="Arial" w:hAnsi="Aptos"/>
          <w:b/>
          <w:bCs/>
          <w:sz w:val="32"/>
          <w:szCs w:val="32"/>
        </w:rPr>
        <w:t>Hallazgos</w:t>
      </w:r>
    </w:p>
    <w:p w14:paraId="22293C74" w14:textId="77777777" w:rsidR="003E760C" w:rsidRPr="003E760C" w:rsidRDefault="003E760C" w:rsidP="003E760C">
      <w:pPr>
        <w:pStyle w:val="ListParagraph"/>
        <w:widowControl w:val="0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3E760C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2300F7DF" w14:textId="77777777" w:rsidR="003E760C" w:rsidRPr="003E760C" w:rsidRDefault="003E760C" w:rsidP="003E760C">
      <w:pPr>
        <w:pStyle w:val="ListParagraph"/>
        <w:widowControl w:val="0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3E760C">
        <w:rPr>
          <w:rFonts w:ascii="Aptos" w:hAnsi="Aptos" w:cs="Times New Roman"/>
        </w:rPr>
        <w:t>El impuesto predial se regula desde el artículo séptimo con definición legal, base gravable, hecho generador y causación; la matriz tarifaria está estructurada por rangos de avalúo con tarifas entre 6‰ y 33‰, pero permanece atada a una clasificación de destinos económicos anterior, lo que genera riesgo de vacíos o solapamientos al migrar a la nomenclatura vigente.</w:t>
      </w:r>
    </w:p>
    <w:p w14:paraId="7731F5A8" w14:textId="77777777" w:rsidR="003E760C" w:rsidRPr="003E760C" w:rsidRDefault="003E760C" w:rsidP="003E760C">
      <w:pPr>
        <w:pStyle w:val="ListParagraph"/>
        <w:widowControl w:val="0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3E760C">
        <w:rPr>
          <w:rFonts w:ascii="Aptos" w:hAnsi="Aptos" w:cs="Times New Roman"/>
        </w:rPr>
        <w:t>Existe un destino residual, titulado: “otras destinaciones económicas” con tarifa 16‰, para aquellos predios que no se encuadran dentro de los demás destinos económicos.</w:t>
      </w:r>
    </w:p>
    <w:p w14:paraId="52AA3174" w14:textId="77777777" w:rsidR="003E760C" w:rsidRPr="003E760C" w:rsidRDefault="003E760C" w:rsidP="003E760C">
      <w:pPr>
        <w:pStyle w:val="ListParagraph"/>
        <w:widowControl w:val="0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3E760C">
        <w:rPr>
          <w:rFonts w:ascii="Aptos" w:hAnsi="Aptos" w:cs="Times New Roman"/>
        </w:rPr>
        <w:t>Límites del IPU: se observa referencia a la Ley 44 de 1990; no se evidencian límites diferenciados por rezago catastral ni desarrollo integral de la Ley 1995 de 2019. El Acuerdo 022 de 2024 introdujo un límite excepcional para 2025 (aumento ≤ 50%) en procesos catastrales, sin regla prevista para vigencias siguientes.</w:t>
      </w:r>
    </w:p>
    <w:p w14:paraId="66381FE8" w14:textId="77777777" w:rsidR="003E760C" w:rsidRPr="003E760C" w:rsidRDefault="003E760C" w:rsidP="003E760C">
      <w:pPr>
        <w:pStyle w:val="ListParagraph"/>
        <w:widowControl w:val="0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3E760C">
        <w:rPr>
          <w:rFonts w:ascii="Aptos" w:hAnsi="Aptos" w:cs="Times New Roman"/>
        </w:rPr>
        <w:t>Sobretasas: ambiental del 1,5‰ sobre la base del IPU; bomberil liquidada sobre el valor del impuesto predial y no sobre el avalúo; no se identifica sobretasa de alumbrado público. No hay articulación explícita de estas cargas con los límites y esquemas de transición del IPU.</w:t>
      </w:r>
    </w:p>
    <w:p w14:paraId="122CEF49" w14:textId="77777777" w:rsidR="003E760C" w:rsidRPr="003E760C" w:rsidRDefault="003E760C" w:rsidP="003E760C">
      <w:pPr>
        <w:pStyle w:val="ListParagraph"/>
        <w:widowControl w:val="0"/>
        <w:numPr>
          <w:ilvl w:val="0"/>
          <w:numId w:val="30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3E760C">
        <w:rPr>
          <w:rFonts w:ascii="Aptos" w:hAnsi="Aptos" w:cs="Times New Roman"/>
        </w:rPr>
        <w:t>Beneficios, exenciones y prohibiciones con enfoque ambiental o de uso del suelo: se declaran como exentos bienes de uso público, inmuebles del municipio, comunidades religiosas y áreas de conservación de aguas, fauna y flora reglamentadas por el Concejo; el estatuto confunde exenciones con supuestos de prohibido gravamen y carece de inventario operativo y estimación del costo fiscal de estos tratamientos.</w:t>
      </w:r>
    </w:p>
    <w:p w14:paraId="60E47B7D" w14:textId="77777777" w:rsidR="003E760C" w:rsidRDefault="003E760C" w:rsidP="003E760C">
      <w:pPr>
        <w:pStyle w:val="ListParagraph"/>
        <w:spacing w:line="360" w:lineRule="auto"/>
        <w:rPr>
          <w:rFonts w:ascii="Aptos" w:hAnsi="Aptos" w:cs="Times New Roman"/>
        </w:rPr>
      </w:pPr>
    </w:p>
    <w:p w14:paraId="16CD24F4" w14:textId="77777777" w:rsidR="003E760C" w:rsidRPr="003E760C" w:rsidRDefault="003E760C" w:rsidP="003E760C">
      <w:pPr>
        <w:pStyle w:val="ListParagraph"/>
        <w:spacing w:line="360" w:lineRule="auto"/>
        <w:rPr>
          <w:rFonts w:ascii="Aptos" w:hAnsi="Aptos" w:cs="Times New Roman"/>
        </w:rPr>
      </w:pPr>
    </w:p>
    <w:p w14:paraId="38625E8D" w14:textId="77777777" w:rsidR="003E760C" w:rsidRPr="003E760C" w:rsidRDefault="003E760C" w:rsidP="003E760C">
      <w:pPr>
        <w:spacing w:line="360" w:lineRule="auto"/>
        <w:rPr>
          <w:rFonts w:ascii="Aptos" w:hAnsi="Aptos"/>
          <w:sz w:val="32"/>
          <w:szCs w:val="32"/>
        </w:rPr>
      </w:pPr>
      <w:r w:rsidRPr="003E760C">
        <w:rPr>
          <w:rFonts w:ascii="Aptos" w:eastAsia="Arial" w:hAnsi="Aptos"/>
          <w:b/>
          <w:bCs/>
          <w:sz w:val="32"/>
          <w:szCs w:val="32"/>
        </w:rPr>
        <w:lastRenderedPageBreak/>
        <w:t>Recomendaciones</w:t>
      </w:r>
    </w:p>
    <w:p w14:paraId="30D20F88" w14:textId="77777777" w:rsidR="003E760C" w:rsidRPr="003E760C" w:rsidRDefault="003E760C" w:rsidP="003E760C">
      <w:pPr>
        <w:pStyle w:val="ListParagraph"/>
        <w:widowControl w:val="0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3E760C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05AA92C0" w14:textId="77777777" w:rsidR="003E760C" w:rsidRPr="003E760C" w:rsidRDefault="003E760C" w:rsidP="003E760C">
      <w:pPr>
        <w:pStyle w:val="ListParagraph"/>
        <w:widowControl w:val="0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3E760C">
        <w:rPr>
          <w:rFonts w:ascii="Aptos" w:hAnsi="Aptos" w:cs="Times New Roman"/>
        </w:rPr>
        <w:t>Suprimir el destino residual “otras destinaciones económicas” y. Así se evita que predios incorporados por actualización recaigan automáticamente en ese rubro con tarifas elevadas, sin soporte técnico.</w:t>
      </w:r>
    </w:p>
    <w:p w14:paraId="7BCC8805" w14:textId="77777777" w:rsidR="003E760C" w:rsidRPr="003E760C" w:rsidRDefault="003E760C" w:rsidP="003E760C">
      <w:pPr>
        <w:pStyle w:val="ListParagraph"/>
        <w:widowControl w:val="0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3E760C">
        <w:rPr>
          <w:rFonts w:ascii="Aptos" w:hAnsi="Aptos" w:cs="Times New Roman"/>
        </w:rPr>
        <w:t>Incorporar un esquema de límites y gradualidad que distinga actualización y rezago catastral, armonizando Ley 44 de 1990 y Ley 1995 de 2019; definir desde ahora la regla aplicable a partir de 2026 en reemplazo del límite excepcional del 50% fijado para 2025 por el Acuerdo 022 de 2024.</w:t>
      </w:r>
    </w:p>
    <w:p w14:paraId="708B1176" w14:textId="77777777" w:rsidR="003E760C" w:rsidRPr="003E760C" w:rsidRDefault="003E760C" w:rsidP="003E760C">
      <w:pPr>
        <w:pStyle w:val="ListParagraph"/>
        <w:widowControl w:val="0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3E760C">
        <w:rPr>
          <w:rFonts w:ascii="Aptos" w:hAnsi="Aptos" w:cs="Times New Roman"/>
        </w:rPr>
        <w:t>Extender expresamente los topes y transiciones del IPU a la sobretasa bomberil, y a los demás tributos atados al avaluó catastral.</w:t>
      </w:r>
    </w:p>
    <w:p w14:paraId="2229E06B" w14:textId="77777777" w:rsidR="003E760C" w:rsidRPr="003E760C" w:rsidRDefault="003E760C" w:rsidP="003E760C">
      <w:pPr>
        <w:pStyle w:val="ListParagraph"/>
        <w:widowControl w:val="0"/>
        <w:numPr>
          <w:ilvl w:val="0"/>
          <w:numId w:val="29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3E760C">
        <w:rPr>
          <w:rFonts w:ascii="Aptos" w:hAnsi="Aptos" w:cs="Times New Roman"/>
        </w:rPr>
        <w:t xml:space="preserve">Diferenciar con precisión “prohibido gravamen” frente a exenciones/beneficios, fijando requisitos, procedimiento de acreditación, vigencia y causales de pérdida; elaborar inventario actualizado de áreas de conservación y estimar su costo fiscal anual para control y trazabilidad presupuestal. 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C7018" w14:textId="77777777" w:rsidR="009A3DE6" w:rsidRDefault="009A3DE6" w:rsidP="00707E60">
      <w:pPr>
        <w:spacing w:after="0" w:line="240" w:lineRule="auto"/>
      </w:pPr>
      <w:r>
        <w:separator/>
      </w:r>
    </w:p>
  </w:endnote>
  <w:endnote w:type="continuationSeparator" w:id="0">
    <w:p w14:paraId="165A9050" w14:textId="77777777" w:rsidR="009A3DE6" w:rsidRDefault="009A3DE6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001ED" w14:textId="77777777" w:rsidR="009A3DE6" w:rsidRDefault="009A3DE6" w:rsidP="00707E60">
      <w:pPr>
        <w:spacing w:after="0" w:line="240" w:lineRule="auto"/>
      </w:pPr>
      <w:r>
        <w:separator/>
      </w:r>
    </w:p>
  </w:footnote>
  <w:footnote w:type="continuationSeparator" w:id="0">
    <w:p w14:paraId="5C84E7D9" w14:textId="77777777" w:rsidR="009A3DE6" w:rsidRDefault="009A3DE6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1A166173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073BBF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Carepa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1A166173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073BBF">
                      <w:rPr>
                        <w:color w:val="000000" w:themeColor="text1"/>
                        <w:sz w:val="28"/>
                        <w:szCs w:val="28"/>
                      </w:rPr>
                      <w:t>Carepa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22E8"/>
    <w:multiLevelType w:val="multilevel"/>
    <w:tmpl w:val="B3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60A7F"/>
    <w:multiLevelType w:val="multilevel"/>
    <w:tmpl w:val="C7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5231C"/>
    <w:multiLevelType w:val="hybridMultilevel"/>
    <w:tmpl w:val="5DA26766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175E2"/>
    <w:multiLevelType w:val="hybridMultilevel"/>
    <w:tmpl w:val="84F8C5F4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5A77C1"/>
    <w:multiLevelType w:val="hybridMultilevel"/>
    <w:tmpl w:val="DB46AF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F6039"/>
    <w:multiLevelType w:val="hybridMultilevel"/>
    <w:tmpl w:val="7AC43800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1"/>
  </w:num>
  <w:num w:numId="2" w16cid:durableId="1017347282">
    <w:abstractNumId w:val="18"/>
  </w:num>
  <w:num w:numId="3" w16cid:durableId="44450645">
    <w:abstractNumId w:val="21"/>
  </w:num>
  <w:num w:numId="4" w16cid:durableId="1953855267">
    <w:abstractNumId w:val="1"/>
  </w:num>
  <w:num w:numId="5" w16cid:durableId="1281302291">
    <w:abstractNumId w:val="7"/>
  </w:num>
  <w:num w:numId="6" w16cid:durableId="198319745">
    <w:abstractNumId w:val="20"/>
  </w:num>
  <w:num w:numId="7" w16cid:durableId="1222793921">
    <w:abstractNumId w:val="2"/>
  </w:num>
  <w:num w:numId="8" w16cid:durableId="1663466582">
    <w:abstractNumId w:val="22"/>
  </w:num>
  <w:num w:numId="9" w16cid:durableId="1601404175">
    <w:abstractNumId w:val="29"/>
  </w:num>
  <w:num w:numId="10" w16cid:durableId="1696037023">
    <w:abstractNumId w:val="24"/>
  </w:num>
  <w:num w:numId="11" w16cid:durableId="1726874531">
    <w:abstractNumId w:val="6"/>
  </w:num>
  <w:num w:numId="12" w16cid:durableId="1308511851">
    <w:abstractNumId w:val="14"/>
  </w:num>
  <w:num w:numId="13" w16cid:durableId="470710239">
    <w:abstractNumId w:val="10"/>
  </w:num>
  <w:num w:numId="14" w16cid:durableId="335232453">
    <w:abstractNumId w:val="0"/>
  </w:num>
  <w:num w:numId="15" w16cid:durableId="864756385">
    <w:abstractNumId w:val="23"/>
  </w:num>
  <w:num w:numId="16" w16cid:durableId="1808812370">
    <w:abstractNumId w:val="8"/>
  </w:num>
  <w:num w:numId="17" w16cid:durableId="230238942">
    <w:abstractNumId w:val="27"/>
  </w:num>
  <w:num w:numId="18" w16cid:durableId="1750955448">
    <w:abstractNumId w:val="15"/>
  </w:num>
  <w:num w:numId="19" w16cid:durableId="1620525228">
    <w:abstractNumId w:val="19"/>
  </w:num>
  <w:num w:numId="20" w16cid:durableId="1971281397">
    <w:abstractNumId w:val="17"/>
  </w:num>
  <w:num w:numId="21" w16cid:durableId="898437512">
    <w:abstractNumId w:val="12"/>
  </w:num>
  <w:num w:numId="22" w16cid:durableId="1857577869">
    <w:abstractNumId w:val="13"/>
  </w:num>
  <w:num w:numId="23" w16cid:durableId="2099017172">
    <w:abstractNumId w:val="4"/>
  </w:num>
  <w:num w:numId="24" w16cid:durableId="247349472">
    <w:abstractNumId w:val="5"/>
  </w:num>
  <w:num w:numId="25" w16cid:durableId="999231555">
    <w:abstractNumId w:val="9"/>
  </w:num>
  <w:num w:numId="26" w16cid:durableId="720834703">
    <w:abstractNumId w:val="3"/>
  </w:num>
  <w:num w:numId="27" w16cid:durableId="1572274572">
    <w:abstractNumId w:val="25"/>
  </w:num>
  <w:num w:numId="28" w16cid:durableId="1501236082">
    <w:abstractNumId w:val="16"/>
  </w:num>
  <w:num w:numId="29" w16cid:durableId="1700162810">
    <w:abstractNumId w:val="26"/>
  </w:num>
  <w:num w:numId="30" w16cid:durableId="194835101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73BBF"/>
    <w:rsid w:val="00084B98"/>
    <w:rsid w:val="00087C16"/>
    <w:rsid w:val="000A76FA"/>
    <w:rsid w:val="000C2026"/>
    <w:rsid w:val="001105DF"/>
    <w:rsid w:val="00120797"/>
    <w:rsid w:val="00130BDF"/>
    <w:rsid w:val="00134527"/>
    <w:rsid w:val="0016665C"/>
    <w:rsid w:val="00180D84"/>
    <w:rsid w:val="001B556D"/>
    <w:rsid w:val="00211E44"/>
    <w:rsid w:val="0023618C"/>
    <w:rsid w:val="00280F9A"/>
    <w:rsid w:val="002A4167"/>
    <w:rsid w:val="003650D0"/>
    <w:rsid w:val="003A7CEA"/>
    <w:rsid w:val="003E2241"/>
    <w:rsid w:val="003E760C"/>
    <w:rsid w:val="004107CA"/>
    <w:rsid w:val="004671B7"/>
    <w:rsid w:val="004E66EB"/>
    <w:rsid w:val="005422DF"/>
    <w:rsid w:val="005B772A"/>
    <w:rsid w:val="005D08ED"/>
    <w:rsid w:val="005F7A75"/>
    <w:rsid w:val="00605B4C"/>
    <w:rsid w:val="00656CE7"/>
    <w:rsid w:val="00665846"/>
    <w:rsid w:val="006A249B"/>
    <w:rsid w:val="00707E60"/>
    <w:rsid w:val="00745C46"/>
    <w:rsid w:val="00813F67"/>
    <w:rsid w:val="00816BD4"/>
    <w:rsid w:val="00844CC8"/>
    <w:rsid w:val="00845F02"/>
    <w:rsid w:val="00852ADC"/>
    <w:rsid w:val="00855468"/>
    <w:rsid w:val="008A01C7"/>
    <w:rsid w:val="00944C88"/>
    <w:rsid w:val="0096088F"/>
    <w:rsid w:val="009A3DE6"/>
    <w:rsid w:val="009D1F9E"/>
    <w:rsid w:val="009F1B3C"/>
    <w:rsid w:val="00A27409"/>
    <w:rsid w:val="00A407A7"/>
    <w:rsid w:val="00A456B7"/>
    <w:rsid w:val="00A55C9A"/>
    <w:rsid w:val="00A566B6"/>
    <w:rsid w:val="00A60686"/>
    <w:rsid w:val="00A96461"/>
    <w:rsid w:val="00AA7DD4"/>
    <w:rsid w:val="00AE2D50"/>
    <w:rsid w:val="00BB442A"/>
    <w:rsid w:val="00BC7035"/>
    <w:rsid w:val="00C04706"/>
    <w:rsid w:val="00C25E4F"/>
    <w:rsid w:val="00C8654E"/>
    <w:rsid w:val="00C942B0"/>
    <w:rsid w:val="00D37EF2"/>
    <w:rsid w:val="00D72AAC"/>
    <w:rsid w:val="00DB14E5"/>
    <w:rsid w:val="00DD0016"/>
    <w:rsid w:val="00E20840"/>
    <w:rsid w:val="00E608BE"/>
    <w:rsid w:val="00E733D1"/>
    <w:rsid w:val="00EF712C"/>
    <w:rsid w:val="00F12C45"/>
    <w:rsid w:val="00F244D0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27</cp:revision>
  <dcterms:created xsi:type="dcterms:W3CDTF">2025-10-23T17:12:00Z</dcterms:created>
  <dcterms:modified xsi:type="dcterms:W3CDTF">2025-11-06T12:52:00Z</dcterms:modified>
</cp:coreProperties>
</file>