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5417F721"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4211E5">
        <w:rPr>
          <w:color w:val="000000" w:themeColor="text1"/>
          <w:sz w:val="44"/>
          <w:szCs w:val="44"/>
        </w:rPr>
        <w:t>C</w:t>
      </w:r>
      <w:r w:rsidR="008A3682">
        <w:rPr>
          <w:color w:val="000000" w:themeColor="text1"/>
          <w:sz w:val="44"/>
          <w:szCs w:val="44"/>
        </w:rPr>
        <w:t>oncepción</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0597B4D4" w14:textId="77777777" w:rsidR="008558E7" w:rsidRPr="008558E7" w:rsidRDefault="008558E7" w:rsidP="008558E7">
      <w:pPr>
        <w:spacing w:line="360" w:lineRule="auto"/>
        <w:jc w:val="both"/>
        <w:rPr>
          <w:rFonts w:ascii="Aptos" w:hAnsi="Aptos" w:cs="Times New Roman"/>
          <w:lang w:val="es-ES"/>
        </w:rPr>
      </w:pPr>
      <w:r w:rsidRPr="008558E7">
        <w:rPr>
          <w:rFonts w:ascii="Aptos" w:hAnsi="Aptos" w:cs="Times New Roman"/>
          <w:lang w:val="es-ES"/>
        </w:rPr>
        <w:lastRenderedPageBreak/>
        <w:t>El estado actual de su normatividad tributaria se establece en el Acuerdo 002 de 2021.</w:t>
      </w:r>
    </w:p>
    <w:p w14:paraId="2800E722" w14:textId="77777777" w:rsidR="008558E7" w:rsidRPr="008558E7" w:rsidRDefault="008558E7" w:rsidP="008558E7">
      <w:pPr>
        <w:spacing w:line="360" w:lineRule="auto"/>
        <w:jc w:val="both"/>
        <w:rPr>
          <w:rFonts w:ascii="Aptos" w:hAnsi="Aptos" w:cs="Times New Roman"/>
          <w:b/>
          <w:bCs/>
          <w:sz w:val="32"/>
          <w:szCs w:val="32"/>
          <w:lang w:val="es-ES"/>
        </w:rPr>
      </w:pPr>
      <w:r w:rsidRPr="008558E7">
        <w:rPr>
          <w:rFonts w:ascii="Aptos" w:hAnsi="Aptos" w:cs="Times New Roman"/>
          <w:b/>
          <w:bCs/>
          <w:sz w:val="32"/>
          <w:szCs w:val="32"/>
          <w:lang w:val="es-ES"/>
        </w:rPr>
        <w:t>Hallazgos</w:t>
      </w:r>
    </w:p>
    <w:p w14:paraId="45AFCD15" w14:textId="77777777" w:rsidR="008558E7" w:rsidRPr="008558E7" w:rsidRDefault="008558E7" w:rsidP="008558E7">
      <w:pPr>
        <w:numPr>
          <w:ilvl w:val="0"/>
          <w:numId w:val="20"/>
        </w:numPr>
        <w:spacing w:line="360" w:lineRule="auto"/>
        <w:jc w:val="both"/>
        <w:rPr>
          <w:rFonts w:ascii="Aptos" w:hAnsi="Aptos" w:cs="Times New Roman"/>
          <w:lang w:val="es-ES"/>
        </w:rPr>
      </w:pPr>
      <w:r w:rsidRPr="008558E7">
        <w:rPr>
          <w:rFonts w:ascii="Aptos" w:hAnsi="Aptos" w:cs="Times New Roman"/>
          <w:lang w:val="es-ES"/>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045B6E48" w14:textId="77777777" w:rsidR="008558E7" w:rsidRPr="008558E7" w:rsidRDefault="008558E7" w:rsidP="008558E7">
      <w:pPr>
        <w:numPr>
          <w:ilvl w:val="0"/>
          <w:numId w:val="20"/>
        </w:numPr>
        <w:spacing w:line="360" w:lineRule="auto"/>
        <w:jc w:val="both"/>
        <w:rPr>
          <w:rFonts w:ascii="Aptos" w:hAnsi="Aptos" w:cs="Times New Roman"/>
          <w:lang w:val="es-ES"/>
        </w:rPr>
      </w:pPr>
      <w:r w:rsidRPr="008558E7">
        <w:rPr>
          <w:rFonts w:ascii="Aptos" w:hAnsi="Aptos" w:cs="Times New Roman"/>
          <w:lang w:val="es-ES"/>
        </w:rPr>
        <w:t>El Impuesto Predial Unificado se encuentra definido y se realizan clasificaciones del predio según su ubicación.</w:t>
      </w:r>
    </w:p>
    <w:p w14:paraId="42A276DB" w14:textId="77777777" w:rsidR="008558E7" w:rsidRPr="008558E7" w:rsidRDefault="008558E7" w:rsidP="008558E7">
      <w:pPr>
        <w:numPr>
          <w:ilvl w:val="0"/>
          <w:numId w:val="20"/>
        </w:numPr>
        <w:spacing w:line="360" w:lineRule="auto"/>
        <w:jc w:val="both"/>
        <w:rPr>
          <w:rFonts w:ascii="Aptos" w:hAnsi="Aptos" w:cs="Times New Roman"/>
          <w:lang w:val="es-ES"/>
        </w:rPr>
      </w:pPr>
      <w:r w:rsidRPr="008558E7">
        <w:rPr>
          <w:rFonts w:ascii="Aptos" w:hAnsi="Aptos" w:cs="Times New Roman"/>
          <w:lang w:val="es-ES"/>
        </w:rPr>
        <w:t>La matriz tarifaria se estructura por destinos económicos y rangos de avalúo, con tarifas entre 5 por mil y 33 por mil.</w:t>
      </w:r>
    </w:p>
    <w:p w14:paraId="6DB679F6" w14:textId="77777777" w:rsidR="008558E7" w:rsidRPr="008558E7" w:rsidRDefault="008558E7" w:rsidP="008558E7">
      <w:pPr>
        <w:numPr>
          <w:ilvl w:val="0"/>
          <w:numId w:val="20"/>
        </w:numPr>
        <w:spacing w:line="360" w:lineRule="auto"/>
        <w:jc w:val="both"/>
        <w:rPr>
          <w:rFonts w:ascii="Aptos" w:hAnsi="Aptos" w:cs="Times New Roman"/>
          <w:lang w:val="es-ES"/>
        </w:rPr>
      </w:pPr>
      <w:r w:rsidRPr="008558E7">
        <w:rPr>
          <w:rFonts w:ascii="Aptos" w:hAnsi="Aptos" w:cs="Times New Roman"/>
          <w:lang w:val="es-ES"/>
        </w:rPr>
        <w:t>Se utiliza la determinación oficial vía factura; los procedimientos catastrales deben ajustarse a la Resolución 1040 de 2023.</w:t>
      </w:r>
    </w:p>
    <w:p w14:paraId="0C71BA5F" w14:textId="77777777" w:rsidR="008558E7" w:rsidRPr="008558E7" w:rsidRDefault="008558E7" w:rsidP="008558E7">
      <w:pPr>
        <w:numPr>
          <w:ilvl w:val="0"/>
          <w:numId w:val="20"/>
        </w:numPr>
        <w:spacing w:line="360" w:lineRule="auto"/>
        <w:jc w:val="both"/>
        <w:rPr>
          <w:rFonts w:ascii="Aptos" w:hAnsi="Aptos" w:cs="Times New Roman"/>
          <w:lang w:val="es-ES"/>
        </w:rPr>
      </w:pPr>
      <w:r w:rsidRPr="008558E7">
        <w:rPr>
          <w:rFonts w:ascii="Aptos" w:hAnsi="Aptos" w:cs="Times New Roman"/>
          <w:lang w:val="es-ES"/>
        </w:rPr>
        <w:t>Existe un incentivo por pronto pago del 15 %.</w:t>
      </w:r>
    </w:p>
    <w:p w14:paraId="0207867D" w14:textId="77777777" w:rsidR="008558E7" w:rsidRPr="008558E7" w:rsidRDefault="008558E7" w:rsidP="008558E7">
      <w:pPr>
        <w:numPr>
          <w:ilvl w:val="0"/>
          <w:numId w:val="20"/>
        </w:numPr>
        <w:spacing w:line="360" w:lineRule="auto"/>
        <w:jc w:val="both"/>
        <w:rPr>
          <w:rFonts w:ascii="Aptos" w:hAnsi="Aptos" w:cs="Times New Roman"/>
          <w:lang w:val="es-ES"/>
        </w:rPr>
      </w:pPr>
      <w:r w:rsidRPr="008558E7">
        <w:rPr>
          <w:rFonts w:ascii="Aptos" w:hAnsi="Aptos" w:cs="Times New Roman"/>
          <w:lang w:val="es-ES"/>
        </w:rPr>
        <w:t>Cuando un predio tiene porciones urbana y rural, se lo clasifica según la mayor extensión, lo que genera temas a revisar para la liquidación por zonas.</w:t>
      </w:r>
    </w:p>
    <w:p w14:paraId="75BF10D2" w14:textId="77777777" w:rsidR="008558E7" w:rsidRPr="008558E7" w:rsidRDefault="008558E7" w:rsidP="008558E7">
      <w:pPr>
        <w:numPr>
          <w:ilvl w:val="0"/>
          <w:numId w:val="20"/>
        </w:numPr>
        <w:spacing w:line="360" w:lineRule="auto"/>
        <w:jc w:val="both"/>
        <w:rPr>
          <w:rFonts w:ascii="Aptos" w:hAnsi="Aptos" w:cs="Times New Roman"/>
          <w:lang w:val="es-ES"/>
        </w:rPr>
      </w:pPr>
      <w:r w:rsidRPr="008558E7">
        <w:rPr>
          <w:rFonts w:ascii="Aptos" w:hAnsi="Aptos" w:cs="Times New Roman"/>
          <w:lang w:val="es-ES"/>
        </w:rPr>
        <w:t>Se enumeran bienes excluidos del IPU y un conjunto amplio de exenciones para entidades y actividades específicas.</w:t>
      </w:r>
    </w:p>
    <w:p w14:paraId="3DF536F6" w14:textId="77777777" w:rsidR="008558E7" w:rsidRPr="008558E7" w:rsidRDefault="008558E7" w:rsidP="008558E7">
      <w:pPr>
        <w:numPr>
          <w:ilvl w:val="0"/>
          <w:numId w:val="20"/>
        </w:numPr>
        <w:spacing w:line="360" w:lineRule="auto"/>
        <w:jc w:val="both"/>
        <w:rPr>
          <w:rFonts w:ascii="Aptos" w:hAnsi="Aptos" w:cs="Times New Roman"/>
          <w:lang w:val="es-ES"/>
        </w:rPr>
      </w:pPr>
      <w:r w:rsidRPr="008558E7">
        <w:rPr>
          <w:rFonts w:ascii="Aptos" w:hAnsi="Aptos" w:cs="Times New Roman"/>
          <w:lang w:val="es-ES"/>
        </w:rPr>
        <w:t>Se prevén tratamientos especiales con tarifa del 5 por mil para ciertas entidades y bienes.</w:t>
      </w:r>
    </w:p>
    <w:p w14:paraId="034A50B7" w14:textId="77777777" w:rsidR="008558E7" w:rsidRPr="008558E7" w:rsidRDefault="008558E7" w:rsidP="008558E7">
      <w:pPr>
        <w:numPr>
          <w:ilvl w:val="0"/>
          <w:numId w:val="20"/>
        </w:numPr>
        <w:spacing w:line="360" w:lineRule="auto"/>
        <w:jc w:val="both"/>
        <w:rPr>
          <w:rFonts w:ascii="Aptos" w:hAnsi="Aptos" w:cs="Times New Roman"/>
          <w:lang w:val="es-ES"/>
        </w:rPr>
      </w:pPr>
      <w:r w:rsidRPr="008558E7">
        <w:rPr>
          <w:rFonts w:ascii="Aptos" w:hAnsi="Aptos" w:cs="Times New Roman"/>
          <w:lang w:val="es-ES"/>
        </w:rPr>
        <w:t>Se adopta una sobretasa ambiental del 1,5 por mil.</w:t>
      </w:r>
    </w:p>
    <w:p w14:paraId="55072BAF" w14:textId="77777777" w:rsidR="008558E7" w:rsidRPr="008558E7" w:rsidRDefault="008558E7" w:rsidP="008558E7">
      <w:pPr>
        <w:numPr>
          <w:ilvl w:val="0"/>
          <w:numId w:val="20"/>
        </w:numPr>
        <w:spacing w:line="360" w:lineRule="auto"/>
        <w:jc w:val="both"/>
        <w:rPr>
          <w:rFonts w:ascii="Aptos" w:hAnsi="Aptos" w:cs="Times New Roman"/>
          <w:lang w:val="es-ES"/>
        </w:rPr>
      </w:pPr>
      <w:r w:rsidRPr="008558E7">
        <w:rPr>
          <w:rFonts w:ascii="Aptos" w:hAnsi="Aptos" w:cs="Times New Roman"/>
          <w:lang w:val="es-ES"/>
        </w:rPr>
        <w:t>Se acogen límites del IPU conforme a la normativa de referencia; no se aborda el rezago catastral.</w:t>
      </w:r>
    </w:p>
    <w:p w14:paraId="0F23C30E" w14:textId="77777777" w:rsidR="008558E7" w:rsidRPr="008558E7" w:rsidRDefault="008558E7" w:rsidP="008558E7">
      <w:pPr>
        <w:numPr>
          <w:ilvl w:val="0"/>
          <w:numId w:val="20"/>
        </w:numPr>
        <w:spacing w:line="360" w:lineRule="auto"/>
        <w:jc w:val="both"/>
        <w:rPr>
          <w:rFonts w:ascii="Aptos" w:hAnsi="Aptos" w:cs="Times New Roman"/>
          <w:lang w:val="es-ES"/>
        </w:rPr>
      </w:pPr>
      <w:r w:rsidRPr="008558E7">
        <w:rPr>
          <w:rFonts w:ascii="Aptos" w:hAnsi="Aptos" w:cs="Times New Roman"/>
          <w:lang w:val="es-ES"/>
        </w:rPr>
        <w:t>Se regula el impuesto predial compensatorio.</w:t>
      </w:r>
    </w:p>
    <w:p w14:paraId="69FE9878" w14:textId="77777777" w:rsidR="008558E7" w:rsidRPr="008558E7" w:rsidRDefault="008558E7" w:rsidP="008558E7">
      <w:pPr>
        <w:numPr>
          <w:ilvl w:val="0"/>
          <w:numId w:val="20"/>
        </w:numPr>
        <w:spacing w:line="360" w:lineRule="auto"/>
        <w:jc w:val="both"/>
        <w:rPr>
          <w:rFonts w:ascii="Aptos" w:hAnsi="Aptos" w:cs="Times New Roman"/>
          <w:lang w:val="es-ES"/>
        </w:rPr>
      </w:pPr>
      <w:r w:rsidRPr="008558E7">
        <w:rPr>
          <w:rFonts w:ascii="Aptos" w:hAnsi="Aptos" w:cs="Times New Roman"/>
          <w:lang w:val="es-ES"/>
        </w:rPr>
        <w:lastRenderedPageBreak/>
        <w:t>En alumbrado público se grava a no usuarios de energía con 1 por mil sobre el avalúo catastral.</w:t>
      </w:r>
    </w:p>
    <w:p w14:paraId="672C301F" w14:textId="77777777" w:rsidR="008558E7" w:rsidRPr="008558E7" w:rsidRDefault="008558E7" w:rsidP="008558E7">
      <w:pPr>
        <w:numPr>
          <w:ilvl w:val="0"/>
          <w:numId w:val="20"/>
        </w:numPr>
        <w:spacing w:line="360" w:lineRule="auto"/>
        <w:jc w:val="both"/>
        <w:rPr>
          <w:rFonts w:ascii="Aptos" w:hAnsi="Aptos" w:cs="Times New Roman"/>
          <w:lang w:val="es-ES"/>
        </w:rPr>
      </w:pPr>
      <w:r w:rsidRPr="008558E7">
        <w:rPr>
          <w:rFonts w:ascii="Aptos" w:hAnsi="Aptos" w:cs="Times New Roman"/>
          <w:lang w:val="es-ES"/>
        </w:rPr>
        <w:t>La sobretasa bomberil corresponde al 2 % del valor del impuesto predial, no sobre el avalúo.</w:t>
      </w:r>
    </w:p>
    <w:p w14:paraId="253F111F" w14:textId="77777777" w:rsidR="008558E7" w:rsidRPr="008558E7" w:rsidRDefault="008558E7" w:rsidP="008558E7">
      <w:pPr>
        <w:spacing w:line="360" w:lineRule="auto"/>
        <w:jc w:val="both"/>
        <w:rPr>
          <w:rFonts w:ascii="Aptos" w:hAnsi="Aptos" w:cs="Times New Roman"/>
          <w:b/>
          <w:bCs/>
          <w:sz w:val="32"/>
          <w:szCs w:val="32"/>
          <w:lang w:val="es-ES"/>
        </w:rPr>
      </w:pPr>
      <w:r w:rsidRPr="008558E7">
        <w:rPr>
          <w:rFonts w:ascii="Aptos" w:hAnsi="Aptos" w:cs="Times New Roman"/>
          <w:b/>
          <w:bCs/>
          <w:sz w:val="32"/>
          <w:szCs w:val="32"/>
          <w:lang w:val="es-ES"/>
        </w:rPr>
        <w:t>Recomendaciones</w:t>
      </w:r>
    </w:p>
    <w:p w14:paraId="7F808F66" w14:textId="77777777" w:rsidR="008558E7" w:rsidRPr="008558E7" w:rsidRDefault="008558E7" w:rsidP="008558E7">
      <w:pPr>
        <w:numPr>
          <w:ilvl w:val="0"/>
          <w:numId w:val="19"/>
        </w:numPr>
        <w:spacing w:line="360" w:lineRule="auto"/>
        <w:jc w:val="both"/>
        <w:rPr>
          <w:rFonts w:ascii="Aptos" w:hAnsi="Aptos" w:cs="Times New Roman"/>
          <w:lang w:val="es-ES"/>
        </w:rPr>
      </w:pPr>
      <w:r w:rsidRPr="008558E7">
        <w:rPr>
          <w:rFonts w:ascii="Aptos" w:hAnsi="Aptos" w:cs="Times New Roman"/>
          <w:lang w:val="es-ES"/>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020A44A7" w14:textId="77777777" w:rsidR="008558E7" w:rsidRPr="008558E7" w:rsidRDefault="008558E7" w:rsidP="008558E7">
      <w:pPr>
        <w:numPr>
          <w:ilvl w:val="0"/>
          <w:numId w:val="19"/>
        </w:numPr>
        <w:spacing w:line="360" w:lineRule="auto"/>
        <w:jc w:val="both"/>
        <w:rPr>
          <w:rFonts w:ascii="Aptos" w:hAnsi="Aptos" w:cs="Times New Roman"/>
          <w:lang w:val="es-ES"/>
        </w:rPr>
      </w:pPr>
      <w:r w:rsidRPr="008558E7">
        <w:rPr>
          <w:rFonts w:ascii="Aptos" w:hAnsi="Aptos" w:cs="Times New Roman"/>
          <w:lang w:val="es-ES"/>
        </w:rPr>
        <w:t>Actualizar los procedimientos catastrales a la Resolución 1040 de 2023 e incorporar la homologación de destinos económicos en la matriz tarifaria.</w:t>
      </w:r>
    </w:p>
    <w:p w14:paraId="5EF8733D" w14:textId="77777777" w:rsidR="008558E7" w:rsidRPr="008558E7" w:rsidRDefault="008558E7" w:rsidP="008558E7">
      <w:pPr>
        <w:numPr>
          <w:ilvl w:val="0"/>
          <w:numId w:val="19"/>
        </w:numPr>
        <w:spacing w:line="360" w:lineRule="auto"/>
        <w:jc w:val="both"/>
        <w:rPr>
          <w:rFonts w:ascii="Aptos" w:hAnsi="Aptos" w:cs="Times New Roman"/>
          <w:lang w:val="es-ES"/>
        </w:rPr>
      </w:pPr>
      <w:r w:rsidRPr="008558E7">
        <w:rPr>
          <w:rFonts w:ascii="Aptos" w:hAnsi="Aptos" w:cs="Times New Roman"/>
          <w:lang w:val="es-ES"/>
        </w:rPr>
        <w:t>Precisar la metodología de liquidación para predios con partes urbana y rural: valorar cada zona con su avalúo y tarifa correspondiente.</w:t>
      </w:r>
    </w:p>
    <w:p w14:paraId="7C69CA51" w14:textId="77777777" w:rsidR="008558E7" w:rsidRPr="008558E7" w:rsidRDefault="008558E7" w:rsidP="008558E7">
      <w:pPr>
        <w:numPr>
          <w:ilvl w:val="0"/>
          <w:numId w:val="19"/>
        </w:numPr>
        <w:spacing w:line="360" w:lineRule="auto"/>
        <w:jc w:val="both"/>
        <w:rPr>
          <w:rFonts w:ascii="Aptos" w:hAnsi="Aptos" w:cs="Times New Roman"/>
          <w:lang w:val="es-ES"/>
        </w:rPr>
      </w:pPr>
      <w:r w:rsidRPr="008558E7">
        <w:rPr>
          <w:rFonts w:ascii="Aptos" w:hAnsi="Aptos" w:cs="Times New Roman"/>
          <w:lang w:val="es-ES"/>
        </w:rPr>
        <w:t>Definir límites y reglas de gradualidad por rezago catastral, con topes, metodología y régimen de transición.</w:t>
      </w:r>
    </w:p>
    <w:p w14:paraId="0183907F" w14:textId="77777777" w:rsidR="008558E7" w:rsidRPr="008558E7" w:rsidRDefault="008558E7" w:rsidP="008558E7">
      <w:pPr>
        <w:numPr>
          <w:ilvl w:val="0"/>
          <w:numId w:val="19"/>
        </w:numPr>
        <w:spacing w:line="360" w:lineRule="auto"/>
        <w:jc w:val="both"/>
        <w:rPr>
          <w:rFonts w:ascii="Aptos" w:hAnsi="Aptos" w:cs="Times New Roman"/>
          <w:lang w:val="es-ES"/>
        </w:rPr>
      </w:pPr>
      <w:r w:rsidRPr="008558E7">
        <w:rPr>
          <w:rFonts w:ascii="Aptos" w:hAnsi="Aptos" w:cs="Times New Roman"/>
          <w:lang w:val="es-ES"/>
        </w:rPr>
        <w:t>Ordenar y delimitar el régimen de exclusiones, exenciones y tratamientos especiales: beneficiarios, requisitos, vigencias y verificación.</w:t>
      </w:r>
    </w:p>
    <w:p w14:paraId="2F4B1069" w14:textId="77777777" w:rsidR="008558E7" w:rsidRPr="008558E7" w:rsidRDefault="008558E7" w:rsidP="008558E7">
      <w:pPr>
        <w:numPr>
          <w:ilvl w:val="0"/>
          <w:numId w:val="19"/>
        </w:numPr>
        <w:spacing w:line="360" w:lineRule="auto"/>
        <w:jc w:val="both"/>
        <w:rPr>
          <w:rFonts w:ascii="Aptos" w:hAnsi="Aptos" w:cs="Times New Roman"/>
          <w:lang w:val="es-ES"/>
        </w:rPr>
      </w:pPr>
      <w:r w:rsidRPr="008558E7">
        <w:rPr>
          <w:rFonts w:ascii="Aptos" w:hAnsi="Aptos" w:cs="Times New Roman"/>
          <w:lang w:val="es-ES"/>
        </w:rPr>
        <w:t>Ajustar la sobretasa bomberil y el alumbrado público para precisar base, procedimiento y límites frente a actualización y rezago.</w:t>
      </w:r>
    </w:p>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40AEF" w14:textId="77777777" w:rsidR="00D55866" w:rsidRDefault="00D55866" w:rsidP="00707E60">
      <w:pPr>
        <w:spacing w:after="0" w:line="240" w:lineRule="auto"/>
      </w:pPr>
      <w:r>
        <w:separator/>
      </w:r>
    </w:p>
  </w:endnote>
  <w:endnote w:type="continuationSeparator" w:id="0">
    <w:p w14:paraId="7B8BEFC2" w14:textId="77777777" w:rsidR="00D55866" w:rsidRDefault="00D55866"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674E7" w14:textId="77777777" w:rsidR="00D55866" w:rsidRDefault="00D55866" w:rsidP="00707E60">
      <w:pPr>
        <w:spacing w:after="0" w:line="240" w:lineRule="auto"/>
      </w:pPr>
      <w:r>
        <w:separator/>
      </w:r>
    </w:p>
  </w:footnote>
  <w:footnote w:type="continuationSeparator" w:id="0">
    <w:p w14:paraId="0C7F2F34" w14:textId="77777777" w:rsidR="00D55866" w:rsidRDefault="00D55866"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64278B6D"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4211E5">
                            <w:rPr>
                              <w:color w:val="000000" w:themeColor="text1"/>
                              <w:sz w:val="28"/>
                              <w:szCs w:val="28"/>
                            </w:rPr>
                            <w:t>C</w:t>
                          </w:r>
                          <w:r w:rsidR="008A3682">
                            <w:rPr>
                              <w:color w:val="000000" w:themeColor="text1"/>
                              <w:sz w:val="28"/>
                              <w:szCs w:val="28"/>
                            </w:rPr>
                            <w:t>oncepción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64278B6D"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4211E5">
                      <w:rPr>
                        <w:color w:val="000000" w:themeColor="text1"/>
                        <w:sz w:val="28"/>
                        <w:szCs w:val="28"/>
                      </w:rPr>
                      <w:t>C</w:t>
                    </w:r>
                    <w:r w:rsidR="008A3682">
                      <w:rPr>
                        <w:color w:val="000000" w:themeColor="text1"/>
                        <w:sz w:val="28"/>
                        <w:szCs w:val="28"/>
                      </w:rPr>
                      <w:t>oncepción</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6038F"/>
    <w:multiLevelType w:val="hybridMultilevel"/>
    <w:tmpl w:val="5E205D3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471139"/>
    <w:multiLevelType w:val="hybridMultilevel"/>
    <w:tmpl w:val="53AA0B0E"/>
    <w:lvl w:ilvl="0" w:tplc="08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E07E97"/>
    <w:multiLevelType w:val="hybridMultilevel"/>
    <w:tmpl w:val="5FAA7C9C"/>
    <w:lvl w:ilvl="0" w:tplc="08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58340287"/>
    <w:multiLevelType w:val="hybridMultilevel"/>
    <w:tmpl w:val="300EF58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6"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6"/>
  </w:num>
  <w:num w:numId="2" w16cid:durableId="1017347282">
    <w:abstractNumId w:val="11"/>
  </w:num>
  <w:num w:numId="3" w16cid:durableId="44450645">
    <w:abstractNumId w:val="16"/>
  </w:num>
  <w:num w:numId="4" w16cid:durableId="1953855267">
    <w:abstractNumId w:val="0"/>
  </w:num>
  <w:num w:numId="5" w16cid:durableId="279457733">
    <w:abstractNumId w:val="7"/>
  </w:num>
  <w:num w:numId="6" w16cid:durableId="829055416">
    <w:abstractNumId w:val="2"/>
  </w:num>
  <w:num w:numId="7" w16cid:durableId="1974747392">
    <w:abstractNumId w:val="5"/>
  </w:num>
  <w:num w:numId="8" w16cid:durableId="1342120387">
    <w:abstractNumId w:val="13"/>
  </w:num>
  <w:num w:numId="9" w16cid:durableId="350257001">
    <w:abstractNumId w:val="4"/>
  </w:num>
  <w:num w:numId="10" w16cid:durableId="1078140204">
    <w:abstractNumId w:val="8"/>
  </w:num>
  <w:num w:numId="11" w16cid:durableId="1792938771">
    <w:abstractNumId w:val="9"/>
  </w:num>
  <w:num w:numId="12" w16cid:durableId="1526560268">
    <w:abstractNumId w:val="17"/>
  </w:num>
  <w:num w:numId="13" w16cid:durableId="684139451">
    <w:abstractNumId w:val="18"/>
  </w:num>
  <w:num w:numId="14" w16cid:durableId="2066485375">
    <w:abstractNumId w:val="19"/>
  </w:num>
  <w:num w:numId="15" w16cid:durableId="1048799774">
    <w:abstractNumId w:val="3"/>
  </w:num>
  <w:num w:numId="16" w16cid:durableId="763765178">
    <w:abstractNumId w:val="12"/>
  </w:num>
  <w:num w:numId="17" w16cid:durableId="1841503235">
    <w:abstractNumId w:val="15"/>
  </w:num>
  <w:num w:numId="18" w16cid:durableId="850992304">
    <w:abstractNumId w:val="14"/>
  </w:num>
  <w:num w:numId="19" w16cid:durableId="426731066">
    <w:abstractNumId w:val="1"/>
  </w:num>
  <w:num w:numId="20" w16cid:durableId="16965362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618C"/>
    <w:rsid w:val="0031580C"/>
    <w:rsid w:val="003650D0"/>
    <w:rsid w:val="003A7CEA"/>
    <w:rsid w:val="003E2241"/>
    <w:rsid w:val="004107CA"/>
    <w:rsid w:val="004211E5"/>
    <w:rsid w:val="005025F7"/>
    <w:rsid w:val="005422DF"/>
    <w:rsid w:val="005C3FCA"/>
    <w:rsid w:val="005D08ED"/>
    <w:rsid w:val="005F7A75"/>
    <w:rsid w:val="00605B4C"/>
    <w:rsid w:val="00665846"/>
    <w:rsid w:val="006A249B"/>
    <w:rsid w:val="006C7AFA"/>
    <w:rsid w:val="00701CC9"/>
    <w:rsid w:val="00707E60"/>
    <w:rsid w:val="00723620"/>
    <w:rsid w:val="00813F67"/>
    <w:rsid w:val="00844CC8"/>
    <w:rsid w:val="00845F02"/>
    <w:rsid w:val="00855468"/>
    <w:rsid w:val="008558E7"/>
    <w:rsid w:val="008A3682"/>
    <w:rsid w:val="009D1788"/>
    <w:rsid w:val="009D1F9E"/>
    <w:rsid w:val="00A27409"/>
    <w:rsid w:val="00A53B01"/>
    <w:rsid w:val="00A55C9A"/>
    <w:rsid w:val="00A60686"/>
    <w:rsid w:val="00A96461"/>
    <w:rsid w:val="00AA7DD4"/>
    <w:rsid w:val="00B9278F"/>
    <w:rsid w:val="00B9597A"/>
    <w:rsid w:val="00BC7035"/>
    <w:rsid w:val="00BE3801"/>
    <w:rsid w:val="00C04706"/>
    <w:rsid w:val="00C24423"/>
    <w:rsid w:val="00C3440A"/>
    <w:rsid w:val="00C4509C"/>
    <w:rsid w:val="00C942B0"/>
    <w:rsid w:val="00C956B7"/>
    <w:rsid w:val="00D37EF2"/>
    <w:rsid w:val="00D55866"/>
    <w:rsid w:val="00DB14E5"/>
    <w:rsid w:val="00DD0016"/>
    <w:rsid w:val="00E20840"/>
    <w:rsid w:val="00E608BE"/>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442</Words>
  <Characters>2522</Characters>
  <Application>Microsoft Office Word</Application>
  <DocSecurity>0</DocSecurity>
  <Lines>21</Lines>
  <Paragraphs>5</Paragraphs>
  <ScaleCrop>false</ScaleCrop>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14</cp:revision>
  <dcterms:created xsi:type="dcterms:W3CDTF">2025-10-23T17:12:00Z</dcterms:created>
  <dcterms:modified xsi:type="dcterms:W3CDTF">2025-10-27T19:35:00Z</dcterms:modified>
</cp:coreProperties>
</file>