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023F02DB"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E23279">
        <w:rPr>
          <w:color w:val="000000" w:themeColor="text1"/>
          <w:sz w:val="44"/>
          <w:szCs w:val="44"/>
        </w:rPr>
        <w:t>Don Matías</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60742F61" w14:textId="77777777" w:rsidR="00E23279" w:rsidRPr="00E23279" w:rsidRDefault="00E23279" w:rsidP="00E23279">
      <w:pPr>
        <w:spacing w:line="360" w:lineRule="auto"/>
        <w:jc w:val="both"/>
        <w:rPr>
          <w:rFonts w:ascii="Aptos" w:hAnsi="Aptos" w:cs="Times New Roman"/>
        </w:rPr>
      </w:pPr>
      <w:r w:rsidRPr="00E23279">
        <w:rPr>
          <w:rFonts w:ascii="Aptos" w:hAnsi="Aptos" w:cs="Times New Roman"/>
        </w:rPr>
        <w:lastRenderedPageBreak/>
        <w:t>El estado actual de su normatividad tributaria se establece en el Acuerdo 016 de 2021.</w:t>
      </w:r>
    </w:p>
    <w:p w14:paraId="644A971E" w14:textId="77777777" w:rsidR="00E23279" w:rsidRPr="00E23279" w:rsidRDefault="00E23279" w:rsidP="00E23279">
      <w:pPr>
        <w:spacing w:line="360" w:lineRule="auto"/>
        <w:jc w:val="both"/>
        <w:rPr>
          <w:rFonts w:ascii="Aptos" w:hAnsi="Aptos" w:cs="Times New Roman"/>
          <w:b/>
          <w:bCs/>
          <w:sz w:val="32"/>
          <w:szCs w:val="32"/>
        </w:rPr>
      </w:pPr>
      <w:r w:rsidRPr="00E23279">
        <w:rPr>
          <w:rFonts w:ascii="Aptos" w:hAnsi="Aptos" w:cs="Times New Roman"/>
          <w:b/>
          <w:bCs/>
          <w:sz w:val="32"/>
          <w:szCs w:val="32"/>
        </w:rPr>
        <w:t>Hallazgos</w:t>
      </w:r>
    </w:p>
    <w:p w14:paraId="1C9455E8" w14:textId="77777777" w:rsidR="00E23279" w:rsidRPr="00E23279" w:rsidRDefault="00E23279" w:rsidP="00E23279">
      <w:pPr>
        <w:numPr>
          <w:ilvl w:val="0"/>
          <w:numId w:val="36"/>
        </w:numPr>
        <w:spacing w:line="360" w:lineRule="auto"/>
        <w:jc w:val="both"/>
        <w:rPr>
          <w:rFonts w:ascii="Aptos" w:hAnsi="Aptos" w:cs="Times New Roman"/>
        </w:rPr>
      </w:pPr>
      <w:r w:rsidRPr="00E23279">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1B0705D" w14:textId="77777777" w:rsidR="00E23279" w:rsidRPr="00E23279" w:rsidRDefault="00E23279" w:rsidP="00E23279">
      <w:pPr>
        <w:numPr>
          <w:ilvl w:val="0"/>
          <w:numId w:val="36"/>
        </w:numPr>
        <w:spacing w:line="360" w:lineRule="auto"/>
        <w:jc w:val="both"/>
        <w:rPr>
          <w:rFonts w:ascii="Aptos" w:hAnsi="Aptos" w:cs="Times New Roman"/>
        </w:rPr>
      </w:pPr>
      <w:r w:rsidRPr="00E23279">
        <w:rPr>
          <w:rFonts w:ascii="Aptos" w:hAnsi="Aptos" w:cs="Times New Roman"/>
        </w:rPr>
        <w:t>El Impuesto Predial Unificado se regula a partir del artículo 14: autorización legal, naturaleza del impuesto, hecho generador, sujetos y base gravable; se menciona el índice de valoración diferencial.</w:t>
      </w:r>
    </w:p>
    <w:p w14:paraId="68D35369" w14:textId="77777777" w:rsidR="00E23279" w:rsidRPr="00E23279" w:rsidRDefault="00E23279" w:rsidP="00E23279">
      <w:pPr>
        <w:numPr>
          <w:ilvl w:val="0"/>
          <w:numId w:val="36"/>
        </w:numPr>
        <w:spacing w:line="360" w:lineRule="auto"/>
        <w:jc w:val="both"/>
        <w:rPr>
          <w:rFonts w:ascii="Aptos" w:hAnsi="Aptos" w:cs="Times New Roman"/>
        </w:rPr>
      </w:pPr>
      <w:r w:rsidRPr="00E23279">
        <w:rPr>
          <w:rFonts w:ascii="Aptos" w:hAnsi="Aptos" w:cs="Times New Roman"/>
        </w:rPr>
        <w:t>Clasificación de predios y matriz tarifaria con diferenciación por rangos de avalúo:</w:t>
      </w:r>
    </w:p>
    <w:p w14:paraId="0E33C2C2" w14:textId="77777777" w:rsidR="00E23279" w:rsidRPr="00E23279" w:rsidRDefault="00E23279" w:rsidP="00E23279">
      <w:pPr>
        <w:numPr>
          <w:ilvl w:val="1"/>
          <w:numId w:val="36"/>
        </w:numPr>
        <w:spacing w:line="360" w:lineRule="auto"/>
        <w:jc w:val="both"/>
        <w:rPr>
          <w:rFonts w:ascii="Aptos" w:hAnsi="Aptos" w:cs="Times New Roman"/>
        </w:rPr>
      </w:pPr>
      <w:r w:rsidRPr="00E23279">
        <w:rPr>
          <w:rFonts w:ascii="Aptos" w:hAnsi="Aptos" w:cs="Times New Roman"/>
        </w:rPr>
        <w:t>Urbano: de 6,5 por mil hasta 33 por mil.</w:t>
      </w:r>
    </w:p>
    <w:p w14:paraId="72C34E43" w14:textId="77777777" w:rsidR="00E23279" w:rsidRPr="00E23279" w:rsidRDefault="00E23279" w:rsidP="00E23279">
      <w:pPr>
        <w:numPr>
          <w:ilvl w:val="1"/>
          <w:numId w:val="36"/>
        </w:numPr>
        <w:spacing w:line="360" w:lineRule="auto"/>
        <w:jc w:val="both"/>
        <w:rPr>
          <w:rFonts w:ascii="Aptos" w:hAnsi="Aptos" w:cs="Times New Roman"/>
        </w:rPr>
      </w:pPr>
      <w:r w:rsidRPr="00E23279">
        <w:rPr>
          <w:rFonts w:ascii="Aptos" w:hAnsi="Aptos" w:cs="Times New Roman"/>
        </w:rPr>
        <w:t>Rural: de 5 por mil hasta 15 por mil.</w:t>
      </w:r>
    </w:p>
    <w:p w14:paraId="499E4C9C" w14:textId="77777777" w:rsidR="00E23279" w:rsidRPr="00E23279" w:rsidRDefault="00E23279" w:rsidP="00E23279">
      <w:pPr>
        <w:numPr>
          <w:ilvl w:val="0"/>
          <w:numId w:val="36"/>
        </w:numPr>
        <w:spacing w:line="360" w:lineRule="auto"/>
        <w:jc w:val="both"/>
        <w:rPr>
          <w:rFonts w:ascii="Aptos" w:hAnsi="Aptos" w:cs="Times New Roman"/>
        </w:rPr>
      </w:pPr>
      <w:r w:rsidRPr="00E23279">
        <w:rPr>
          <w:rFonts w:ascii="Aptos" w:hAnsi="Aptos" w:cs="Times New Roman"/>
        </w:rPr>
        <w:t>Límites del impuesto basados en la Ley 1995. No se prevén reglas de rezago catastral.</w:t>
      </w:r>
    </w:p>
    <w:p w14:paraId="58EDE8A4" w14:textId="77777777" w:rsidR="00E23279" w:rsidRPr="00E23279" w:rsidRDefault="00E23279" w:rsidP="00E23279">
      <w:pPr>
        <w:numPr>
          <w:ilvl w:val="0"/>
          <w:numId w:val="36"/>
        </w:numPr>
        <w:spacing w:line="360" w:lineRule="auto"/>
        <w:jc w:val="both"/>
        <w:rPr>
          <w:rFonts w:ascii="Aptos" w:hAnsi="Aptos" w:cs="Times New Roman"/>
        </w:rPr>
      </w:pPr>
      <w:r w:rsidRPr="00E23279">
        <w:rPr>
          <w:rFonts w:ascii="Aptos" w:hAnsi="Aptos" w:cs="Times New Roman"/>
        </w:rPr>
        <w:t>Pago trimestral y determinación oficial vía factura.</w:t>
      </w:r>
    </w:p>
    <w:p w14:paraId="3A02D1F7" w14:textId="77777777" w:rsidR="00E23279" w:rsidRPr="00E23279" w:rsidRDefault="00E23279" w:rsidP="00E23279">
      <w:pPr>
        <w:numPr>
          <w:ilvl w:val="0"/>
          <w:numId w:val="36"/>
        </w:numPr>
        <w:spacing w:line="360" w:lineRule="auto"/>
        <w:jc w:val="both"/>
        <w:rPr>
          <w:rFonts w:ascii="Aptos" w:hAnsi="Aptos" w:cs="Times New Roman"/>
        </w:rPr>
      </w:pPr>
      <w:r w:rsidRPr="00E23279">
        <w:rPr>
          <w:rFonts w:ascii="Aptos" w:hAnsi="Aptos" w:cs="Times New Roman"/>
        </w:rPr>
        <w:t>Exclusiones: predios de iglesias, monumentos nacionales, y mención a “todas las entidades públicas (excepto establecimientos públicos, empresas industriales y comerciales del Estado)”; esta redacción es ambigua y puede abarcar predios departamentales o nacionales sin delimitación.</w:t>
      </w:r>
    </w:p>
    <w:p w14:paraId="193DCA46" w14:textId="77777777" w:rsidR="00E23279" w:rsidRPr="00E23279" w:rsidRDefault="00E23279" w:rsidP="00E23279">
      <w:pPr>
        <w:numPr>
          <w:ilvl w:val="0"/>
          <w:numId w:val="36"/>
        </w:numPr>
        <w:spacing w:line="360" w:lineRule="auto"/>
        <w:jc w:val="both"/>
        <w:rPr>
          <w:rFonts w:ascii="Aptos" w:hAnsi="Aptos" w:cs="Times New Roman"/>
        </w:rPr>
      </w:pPr>
      <w:r w:rsidRPr="00E23279">
        <w:rPr>
          <w:rFonts w:ascii="Aptos" w:hAnsi="Aptos" w:cs="Times New Roman"/>
        </w:rPr>
        <w:t>Sobretasa ambiental: 1,5 por mil.</w:t>
      </w:r>
    </w:p>
    <w:p w14:paraId="7285953A" w14:textId="77777777" w:rsidR="00E23279" w:rsidRPr="00E23279" w:rsidRDefault="00E23279" w:rsidP="00E23279">
      <w:pPr>
        <w:numPr>
          <w:ilvl w:val="0"/>
          <w:numId w:val="36"/>
        </w:numPr>
        <w:spacing w:line="360" w:lineRule="auto"/>
        <w:jc w:val="both"/>
        <w:rPr>
          <w:rFonts w:ascii="Aptos" w:hAnsi="Aptos" w:cs="Times New Roman"/>
        </w:rPr>
      </w:pPr>
      <w:r w:rsidRPr="00E23279">
        <w:rPr>
          <w:rFonts w:ascii="Aptos" w:hAnsi="Aptos" w:cs="Times New Roman"/>
        </w:rPr>
        <w:t>Impuesto predial compensatorio sobre embalses y bienes de utilidad pública para generación hidroeléctrica.</w:t>
      </w:r>
    </w:p>
    <w:p w14:paraId="09BABBF3" w14:textId="77777777" w:rsidR="00E23279" w:rsidRPr="00E23279" w:rsidRDefault="00E23279" w:rsidP="00E23279">
      <w:pPr>
        <w:numPr>
          <w:ilvl w:val="0"/>
          <w:numId w:val="36"/>
        </w:numPr>
        <w:spacing w:line="360" w:lineRule="auto"/>
        <w:jc w:val="both"/>
        <w:rPr>
          <w:rFonts w:ascii="Aptos" w:hAnsi="Aptos" w:cs="Times New Roman"/>
        </w:rPr>
      </w:pPr>
      <w:r w:rsidRPr="00E23279">
        <w:rPr>
          <w:rFonts w:ascii="Aptos" w:hAnsi="Aptos" w:cs="Times New Roman"/>
        </w:rPr>
        <w:t>El Municipio no ha incorporado los destinos económicos definidos por la Gerencia de Catastro Departamental; parte de los destinos locales ya fueron homologados o dejaron de existir, lo que impide liquidar con arreglo al esquema vigente.</w:t>
      </w:r>
    </w:p>
    <w:p w14:paraId="5BC8FFB7" w14:textId="77777777" w:rsidR="00E23279" w:rsidRPr="00E23279" w:rsidRDefault="00E23279" w:rsidP="00E23279">
      <w:pPr>
        <w:numPr>
          <w:ilvl w:val="0"/>
          <w:numId w:val="36"/>
        </w:numPr>
        <w:spacing w:line="360" w:lineRule="auto"/>
        <w:jc w:val="both"/>
        <w:rPr>
          <w:rFonts w:ascii="Aptos" w:hAnsi="Aptos" w:cs="Times New Roman"/>
        </w:rPr>
      </w:pPr>
      <w:r w:rsidRPr="00E23279">
        <w:rPr>
          <w:rFonts w:ascii="Aptos" w:hAnsi="Aptos" w:cs="Times New Roman"/>
        </w:rPr>
        <w:lastRenderedPageBreak/>
        <w:t>No se liquida sobretasa de alumbrado público sobre el avalúo ni sobretasa bomberil sobre el IPU; no habría incidencia directa por aumentos del avalúo en estos conceptos.</w:t>
      </w:r>
    </w:p>
    <w:p w14:paraId="4906F04A" w14:textId="77777777" w:rsidR="00E23279" w:rsidRPr="00E23279" w:rsidRDefault="00E23279" w:rsidP="00E23279">
      <w:pPr>
        <w:numPr>
          <w:ilvl w:val="0"/>
          <w:numId w:val="37"/>
        </w:numPr>
        <w:spacing w:line="360" w:lineRule="auto"/>
        <w:jc w:val="both"/>
        <w:rPr>
          <w:rFonts w:ascii="Aptos" w:hAnsi="Aptos" w:cs="Times New Roman"/>
        </w:rPr>
      </w:pPr>
      <w:r w:rsidRPr="00E23279">
        <w:rPr>
          <w:rFonts w:ascii="Aptos" w:hAnsi="Aptos" w:cs="Times New Roman"/>
        </w:rPr>
        <w:t>Áreas de conservación de aguas, fauna y flora reglamentadas por el Concejo Municipal están excluidas del IPU conforme al estatuto; se requiere aunar criterios operativos para su identificación, prueba y control en la liquidación.</w:t>
      </w:r>
    </w:p>
    <w:p w14:paraId="2A3D146F" w14:textId="77777777" w:rsidR="00E23279" w:rsidRPr="00E23279" w:rsidRDefault="00E23279" w:rsidP="00E23279">
      <w:pPr>
        <w:spacing w:line="360" w:lineRule="auto"/>
        <w:jc w:val="both"/>
        <w:rPr>
          <w:rFonts w:ascii="Aptos" w:hAnsi="Aptos" w:cs="Times New Roman"/>
          <w:b/>
          <w:bCs/>
          <w:sz w:val="32"/>
          <w:szCs w:val="32"/>
        </w:rPr>
      </w:pPr>
      <w:r w:rsidRPr="00E23279">
        <w:rPr>
          <w:rFonts w:ascii="Aptos" w:hAnsi="Aptos" w:cs="Times New Roman"/>
          <w:b/>
          <w:bCs/>
          <w:sz w:val="32"/>
          <w:szCs w:val="32"/>
        </w:rPr>
        <w:t>Recomendaciones</w:t>
      </w:r>
    </w:p>
    <w:p w14:paraId="0445C018" w14:textId="77777777" w:rsidR="00E23279" w:rsidRPr="00E23279" w:rsidRDefault="00E23279" w:rsidP="00E23279">
      <w:pPr>
        <w:numPr>
          <w:ilvl w:val="0"/>
          <w:numId w:val="38"/>
        </w:numPr>
        <w:spacing w:line="360" w:lineRule="auto"/>
        <w:jc w:val="both"/>
        <w:rPr>
          <w:rFonts w:ascii="Aptos" w:hAnsi="Aptos" w:cs="Times New Roman"/>
        </w:rPr>
      </w:pPr>
      <w:r w:rsidRPr="00E23279">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02E6FD10" w14:textId="77777777" w:rsidR="00E23279" w:rsidRPr="00E23279" w:rsidRDefault="00E23279" w:rsidP="00E23279">
      <w:pPr>
        <w:numPr>
          <w:ilvl w:val="0"/>
          <w:numId w:val="38"/>
        </w:numPr>
        <w:spacing w:line="360" w:lineRule="auto"/>
        <w:jc w:val="both"/>
        <w:rPr>
          <w:rFonts w:ascii="Aptos" w:hAnsi="Aptos" w:cs="Times New Roman"/>
        </w:rPr>
      </w:pPr>
      <w:r w:rsidRPr="00E23279">
        <w:rPr>
          <w:rFonts w:ascii="Aptos" w:hAnsi="Aptos" w:cs="Times New Roman"/>
        </w:rPr>
        <w:t>Adoptar formalmente los destinos económicos de la Gerencia de Catastro Departamental y depurar el listado local de destinos homologados/obsoletos, asegurando su correspondencia con la matriz tarifaria.</w:t>
      </w:r>
    </w:p>
    <w:p w14:paraId="728705F5" w14:textId="77777777" w:rsidR="00E23279" w:rsidRPr="00E23279" w:rsidRDefault="00E23279" w:rsidP="00E23279">
      <w:pPr>
        <w:numPr>
          <w:ilvl w:val="0"/>
          <w:numId w:val="38"/>
        </w:numPr>
        <w:spacing w:line="360" w:lineRule="auto"/>
        <w:jc w:val="both"/>
        <w:rPr>
          <w:rFonts w:ascii="Aptos" w:hAnsi="Aptos" w:cs="Times New Roman"/>
        </w:rPr>
      </w:pPr>
      <w:r w:rsidRPr="00E23279">
        <w:rPr>
          <w:rFonts w:ascii="Aptos" w:hAnsi="Aptos" w:cs="Times New Roman"/>
        </w:rPr>
        <w:t>Definir límites y reglas de gradualidad por rezago catastral, con topes anuales, metodología de aplicación y régimen transitorio, articulados con los límites de la Ley 1995.</w:t>
      </w:r>
    </w:p>
    <w:p w14:paraId="40FC7C38" w14:textId="77777777" w:rsidR="00E23279" w:rsidRPr="00E23279" w:rsidRDefault="00E23279" w:rsidP="00E23279">
      <w:pPr>
        <w:numPr>
          <w:ilvl w:val="0"/>
          <w:numId w:val="38"/>
        </w:numPr>
        <w:spacing w:line="360" w:lineRule="auto"/>
        <w:jc w:val="both"/>
        <w:rPr>
          <w:rFonts w:ascii="Aptos" w:hAnsi="Aptos" w:cs="Times New Roman"/>
        </w:rPr>
      </w:pPr>
      <w:r w:rsidRPr="00E23279">
        <w:rPr>
          <w:rFonts w:ascii="Aptos" w:hAnsi="Aptos" w:cs="Times New Roman"/>
        </w:rPr>
        <w:t>Precisar la redacción de “todas las entidades públicas”: delimitar ámbito subjetivo (municipales, departamentales, nacionales), tipología de entidad y naturaleza del beneficio (prohibición/no causación vs. exención), así como vigencia y requisitos de reconocimiento.</w:t>
      </w:r>
    </w:p>
    <w:p w14:paraId="3136569F" w14:textId="77777777" w:rsidR="00E23279" w:rsidRPr="00E23279" w:rsidRDefault="00E23279" w:rsidP="00E23279">
      <w:pPr>
        <w:numPr>
          <w:ilvl w:val="0"/>
          <w:numId w:val="38"/>
        </w:numPr>
        <w:spacing w:line="360" w:lineRule="auto"/>
        <w:jc w:val="both"/>
        <w:rPr>
          <w:rFonts w:ascii="Aptos" w:hAnsi="Aptos" w:cs="Times New Roman"/>
        </w:rPr>
      </w:pPr>
      <w:r w:rsidRPr="00E23279">
        <w:rPr>
          <w:rFonts w:ascii="Aptos" w:hAnsi="Aptos" w:cs="Times New Roman"/>
        </w:rPr>
        <w:t>Estandarizar los criterios de exclusión ambiental (conservación de agua, fauna y flora): definir documentos habilitantes, autoridad certificadora, plazos y verificación para su aplicación en la base y en la tarifa.</w:t>
      </w:r>
    </w:p>
    <w:p w14:paraId="0CA5E948" w14:textId="77777777" w:rsidR="00E23279" w:rsidRPr="00E23279" w:rsidRDefault="00E23279" w:rsidP="00E23279">
      <w:pPr>
        <w:numPr>
          <w:ilvl w:val="0"/>
          <w:numId w:val="38"/>
        </w:numPr>
        <w:spacing w:line="360" w:lineRule="auto"/>
        <w:jc w:val="both"/>
        <w:rPr>
          <w:rFonts w:ascii="Aptos" w:hAnsi="Aptos" w:cs="Times New Roman"/>
        </w:rPr>
      </w:pPr>
      <w:r w:rsidRPr="00E23279">
        <w:rPr>
          <w:rFonts w:ascii="Aptos" w:hAnsi="Aptos" w:cs="Times New Roman"/>
        </w:rPr>
        <w:t>Revisar la aplicación del índice de valoración diferencial dentro de la base gravable: supuestos, trazabilidad y coherencia con la clasificación urbano/rural y con los rangos de avalúo de la matriz.</w:t>
      </w:r>
    </w:p>
    <w:p w14:paraId="59F5D9C1" w14:textId="77777777" w:rsidR="00707E60" w:rsidRPr="000A5758"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0FB69" w14:textId="77777777" w:rsidR="00A740E7" w:rsidRDefault="00A740E7" w:rsidP="00707E60">
      <w:pPr>
        <w:spacing w:after="0" w:line="240" w:lineRule="auto"/>
      </w:pPr>
      <w:r>
        <w:separator/>
      </w:r>
    </w:p>
  </w:endnote>
  <w:endnote w:type="continuationSeparator" w:id="0">
    <w:p w14:paraId="74A47647" w14:textId="77777777" w:rsidR="00A740E7" w:rsidRDefault="00A740E7"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F3028" w14:textId="77777777" w:rsidR="00A740E7" w:rsidRDefault="00A740E7" w:rsidP="00707E60">
      <w:pPr>
        <w:spacing w:after="0" w:line="240" w:lineRule="auto"/>
      </w:pPr>
      <w:r>
        <w:separator/>
      </w:r>
    </w:p>
  </w:footnote>
  <w:footnote w:type="continuationSeparator" w:id="0">
    <w:p w14:paraId="46D061B2" w14:textId="77777777" w:rsidR="00A740E7" w:rsidRDefault="00A740E7"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7AF6D576"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E23279">
                            <w:rPr>
                              <w:color w:val="000000" w:themeColor="text1"/>
                              <w:sz w:val="28"/>
                              <w:szCs w:val="28"/>
                            </w:rPr>
                            <w:t>Don Matías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7AF6D576"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E23279">
                      <w:rPr>
                        <w:color w:val="000000" w:themeColor="text1"/>
                        <w:sz w:val="28"/>
                        <w:szCs w:val="28"/>
                      </w:rPr>
                      <w:t>Don Matías</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6254D"/>
    <w:multiLevelType w:val="hybridMultilevel"/>
    <w:tmpl w:val="8CE80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143578"/>
    <w:multiLevelType w:val="multilevel"/>
    <w:tmpl w:val="EB246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24D8A"/>
    <w:multiLevelType w:val="hybridMultilevel"/>
    <w:tmpl w:val="EC0A02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2D409DF"/>
    <w:multiLevelType w:val="multilevel"/>
    <w:tmpl w:val="A122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7C7ECF"/>
    <w:multiLevelType w:val="hybridMultilevel"/>
    <w:tmpl w:val="22F0A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8C01C3"/>
    <w:multiLevelType w:val="hybridMultilevel"/>
    <w:tmpl w:val="AC9A3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F997892"/>
    <w:multiLevelType w:val="multilevel"/>
    <w:tmpl w:val="828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2C6DE2"/>
    <w:multiLevelType w:val="multilevel"/>
    <w:tmpl w:val="6BF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EA4E6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B06274"/>
    <w:multiLevelType w:val="multilevel"/>
    <w:tmpl w:val="6F0A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C0003"/>
    <w:multiLevelType w:val="multilevel"/>
    <w:tmpl w:val="1DCE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750FC5"/>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10"/>
  </w:num>
  <w:num w:numId="2" w16cid:durableId="1017347282">
    <w:abstractNumId w:val="16"/>
  </w:num>
  <w:num w:numId="3" w16cid:durableId="44450645">
    <w:abstractNumId w:val="27"/>
  </w:num>
  <w:num w:numId="4" w16cid:durableId="1953855267">
    <w:abstractNumId w:val="0"/>
  </w:num>
  <w:num w:numId="5" w16cid:durableId="279457733">
    <w:abstractNumId w:val="12"/>
  </w:num>
  <w:num w:numId="6" w16cid:durableId="829055416">
    <w:abstractNumId w:val="1"/>
  </w:num>
  <w:num w:numId="7" w16cid:durableId="1974747392">
    <w:abstractNumId w:val="8"/>
  </w:num>
  <w:num w:numId="8" w16cid:durableId="1342120387">
    <w:abstractNumId w:val="22"/>
  </w:num>
  <w:num w:numId="9" w16cid:durableId="350257001">
    <w:abstractNumId w:val="7"/>
  </w:num>
  <w:num w:numId="10" w16cid:durableId="1078140204">
    <w:abstractNumId w:val="13"/>
  </w:num>
  <w:num w:numId="11" w16cid:durableId="1792938771">
    <w:abstractNumId w:val="14"/>
  </w:num>
  <w:num w:numId="12" w16cid:durableId="1526560268">
    <w:abstractNumId w:val="31"/>
  </w:num>
  <w:num w:numId="13" w16cid:durableId="684139451">
    <w:abstractNumId w:val="35"/>
  </w:num>
  <w:num w:numId="14" w16cid:durableId="2066485375">
    <w:abstractNumId w:val="36"/>
  </w:num>
  <w:num w:numId="15" w16cid:durableId="1048799774">
    <w:abstractNumId w:val="6"/>
  </w:num>
  <w:num w:numId="16" w16cid:durableId="763765178">
    <w:abstractNumId w:val="18"/>
  </w:num>
  <w:num w:numId="17" w16cid:durableId="312298011">
    <w:abstractNumId w:val="26"/>
  </w:num>
  <w:num w:numId="18" w16cid:durableId="1720469911">
    <w:abstractNumId w:val="19"/>
  </w:num>
  <w:num w:numId="19" w16cid:durableId="435371494">
    <w:abstractNumId w:val="24"/>
  </w:num>
  <w:num w:numId="20" w16cid:durableId="295719448">
    <w:abstractNumId w:val="25"/>
  </w:num>
  <w:num w:numId="21" w16cid:durableId="1577745992">
    <w:abstractNumId w:val="15"/>
  </w:num>
  <w:num w:numId="22" w16cid:durableId="1267925568">
    <w:abstractNumId w:val="29"/>
  </w:num>
  <w:num w:numId="23" w16cid:durableId="1861967186">
    <w:abstractNumId w:val="9"/>
  </w:num>
  <w:num w:numId="24" w16cid:durableId="601374337">
    <w:abstractNumId w:val="30"/>
  </w:num>
  <w:num w:numId="25" w16cid:durableId="1162700760">
    <w:abstractNumId w:val="34"/>
  </w:num>
  <w:num w:numId="26" w16cid:durableId="581332385">
    <w:abstractNumId w:val="17"/>
  </w:num>
  <w:num w:numId="27" w16cid:durableId="423887808">
    <w:abstractNumId w:val="28"/>
  </w:num>
  <w:num w:numId="28" w16cid:durableId="1186863597">
    <w:abstractNumId w:val="37"/>
  </w:num>
  <w:num w:numId="29" w16cid:durableId="340359362">
    <w:abstractNumId w:val="2"/>
  </w:num>
  <w:num w:numId="30" w16cid:durableId="1619264905">
    <w:abstractNumId w:val="4"/>
  </w:num>
  <w:num w:numId="31" w16cid:durableId="97989699">
    <w:abstractNumId w:val="11"/>
  </w:num>
  <w:num w:numId="32" w16cid:durableId="55206863">
    <w:abstractNumId w:val="20"/>
  </w:num>
  <w:num w:numId="33" w16cid:durableId="2040545959">
    <w:abstractNumId w:val="23"/>
  </w:num>
  <w:num w:numId="34" w16cid:durableId="437526546">
    <w:abstractNumId w:val="21"/>
  </w:num>
  <w:num w:numId="35" w16cid:durableId="1634217144">
    <w:abstractNumId w:val="5"/>
  </w:num>
  <w:num w:numId="36" w16cid:durableId="1565606231">
    <w:abstractNumId w:val="3"/>
  </w:num>
  <w:num w:numId="37" w16cid:durableId="21172881">
    <w:abstractNumId w:val="32"/>
  </w:num>
  <w:num w:numId="38" w16cid:durableId="31661847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5161C"/>
    <w:rsid w:val="00084B98"/>
    <w:rsid w:val="000A5758"/>
    <w:rsid w:val="000C571B"/>
    <w:rsid w:val="00120797"/>
    <w:rsid w:val="00134527"/>
    <w:rsid w:val="001C6F8E"/>
    <w:rsid w:val="00211E44"/>
    <w:rsid w:val="00231736"/>
    <w:rsid w:val="0023618C"/>
    <w:rsid w:val="0031580C"/>
    <w:rsid w:val="0034535B"/>
    <w:rsid w:val="003650D0"/>
    <w:rsid w:val="003A7CEA"/>
    <w:rsid w:val="003E2241"/>
    <w:rsid w:val="003E2F94"/>
    <w:rsid w:val="004107CA"/>
    <w:rsid w:val="005422DF"/>
    <w:rsid w:val="00544342"/>
    <w:rsid w:val="005C3FCA"/>
    <w:rsid w:val="005D08ED"/>
    <w:rsid w:val="005F7A75"/>
    <w:rsid w:val="00605B4C"/>
    <w:rsid w:val="006348C8"/>
    <w:rsid w:val="00665846"/>
    <w:rsid w:val="006A249B"/>
    <w:rsid w:val="006A428E"/>
    <w:rsid w:val="006E68D4"/>
    <w:rsid w:val="00701CC9"/>
    <w:rsid w:val="00707E60"/>
    <w:rsid w:val="00723620"/>
    <w:rsid w:val="00740366"/>
    <w:rsid w:val="0075330F"/>
    <w:rsid w:val="007C2E1E"/>
    <w:rsid w:val="00813F67"/>
    <w:rsid w:val="00844CC8"/>
    <w:rsid w:val="00845F02"/>
    <w:rsid w:val="00855468"/>
    <w:rsid w:val="00933720"/>
    <w:rsid w:val="009D1788"/>
    <w:rsid w:val="009D1F9E"/>
    <w:rsid w:val="00A27409"/>
    <w:rsid w:val="00A53B01"/>
    <w:rsid w:val="00A55C9A"/>
    <w:rsid w:val="00A60686"/>
    <w:rsid w:val="00A740E7"/>
    <w:rsid w:val="00A96461"/>
    <w:rsid w:val="00AA7DD4"/>
    <w:rsid w:val="00B01FF5"/>
    <w:rsid w:val="00B34D3F"/>
    <w:rsid w:val="00B9278F"/>
    <w:rsid w:val="00B9597A"/>
    <w:rsid w:val="00BC7035"/>
    <w:rsid w:val="00BE3801"/>
    <w:rsid w:val="00C04706"/>
    <w:rsid w:val="00C24423"/>
    <w:rsid w:val="00C3440A"/>
    <w:rsid w:val="00C4509C"/>
    <w:rsid w:val="00C942B0"/>
    <w:rsid w:val="00D37EF2"/>
    <w:rsid w:val="00DB14E5"/>
    <w:rsid w:val="00DD0016"/>
    <w:rsid w:val="00E20762"/>
    <w:rsid w:val="00E20840"/>
    <w:rsid w:val="00E23279"/>
    <w:rsid w:val="00E608BE"/>
    <w:rsid w:val="00F27231"/>
    <w:rsid w:val="00F65205"/>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563</Words>
  <Characters>3213</Characters>
  <Application>Microsoft Office Word</Application>
  <DocSecurity>0</DocSecurity>
  <Lines>26</Lines>
  <Paragraphs>7</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21</cp:revision>
  <dcterms:created xsi:type="dcterms:W3CDTF">2025-10-23T17:12:00Z</dcterms:created>
  <dcterms:modified xsi:type="dcterms:W3CDTF">2025-10-24T18:40:00Z</dcterms:modified>
</cp:coreProperties>
</file>