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C3FF2AC"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DC7295">
        <w:rPr>
          <w:color w:val="000000" w:themeColor="text1"/>
          <w:sz w:val="44"/>
          <w:szCs w:val="44"/>
        </w:rPr>
        <w:t>Guadalupe</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F169ED5" w14:textId="77777777" w:rsidR="00DC7295" w:rsidRPr="00DC7295" w:rsidRDefault="00DC7295" w:rsidP="00DC7295">
      <w:pPr>
        <w:spacing w:line="360" w:lineRule="auto"/>
        <w:jc w:val="both"/>
        <w:rPr>
          <w:rFonts w:ascii="Aptos" w:hAnsi="Aptos" w:cs="Times New Roman"/>
          <w:b/>
          <w:bCs/>
        </w:rPr>
      </w:pPr>
      <w:r w:rsidRPr="00DC7295">
        <w:rPr>
          <w:rFonts w:ascii="Aptos" w:hAnsi="Aptos" w:cs="Times New Roman"/>
        </w:rPr>
        <w:lastRenderedPageBreak/>
        <w:t>El estado actual de su normatividad tributaria se establece en el acuerdo: 011 de 2020.</w:t>
      </w:r>
    </w:p>
    <w:p w14:paraId="51D8322F" w14:textId="77777777" w:rsidR="00DC7295" w:rsidRPr="00DC7295" w:rsidRDefault="00DC7295" w:rsidP="00DC7295">
      <w:pPr>
        <w:pStyle w:val="Title"/>
      </w:pPr>
      <w:r w:rsidRPr="00DC7295">
        <w:t>Hallazgos</w:t>
      </w:r>
    </w:p>
    <w:p w14:paraId="6E0A28FC"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6D34BAD"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Beneficios: se manejan múltiples porcentajes (20 %, 40 %, 50 %, 80 % y 100 %), según condiciones del predio (p. ej., interés cultural, ESAL culturales, conservación de especies nativas, cultivos y bosques), lo que puede complejizar la liquidación y generar heterogeneidad en la aplicación.</w:t>
      </w:r>
    </w:p>
    <w:p w14:paraId="430AF68D"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Límites al crecimiento del IPU: se aplica el artículo 6 de la Ley 44 de 1990 para incrementos por actualizaciones catastrales; no se incorpora un marco complementario como el de la Ley 1995 de 2019.</w:t>
      </w:r>
    </w:p>
    <w:p w14:paraId="16A15CBC"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Matriz tarifaria: para vivienda habitacional existen siete tipologías por rangos de UVT con tarifas entre 6‰ y 16‰; para otras destinaciones las tarifas pueden llegar hasta 33‰. Se contempla clasificación para predios rurales.</w:t>
      </w:r>
    </w:p>
    <w:p w14:paraId="476F6626"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Determinación y facturación: adopción de la factura como título y cobro trimestral; pronto pago del 20 %.</w:t>
      </w:r>
    </w:p>
    <w:p w14:paraId="17AE8F15"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Sobretasa ambiental: fijada en 1,5‰ sobre el avalúo catastral.</w:t>
      </w:r>
    </w:p>
    <w:p w14:paraId="1EB3D2DA"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Gravamen prohibido y exenciones: inmuebles de gravamen prohibido (iglesias, parques naturales) y exenciones para JAC, Bomberos y Defensa Civil.</w:t>
      </w:r>
    </w:p>
    <w:p w14:paraId="73ACADD7"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t>Ausencia de sobretasa de alumbrado público y sobretasa bomberil calculadas sobre el avalúo catastral o el impuesto predial, respectivamente.</w:t>
      </w:r>
    </w:p>
    <w:p w14:paraId="4295F73C" w14:textId="77777777" w:rsidR="00DC7295" w:rsidRPr="00DC7295" w:rsidRDefault="00DC7295" w:rsidP="00DC7295">
      <w:pPr>
        <w:numPr>
          <w:ilvl w:val="0"/>
          <w:numId w:val="7"/>
        </w:numPr>
        <w:spacing w:line="360" w:lineRule="auto"/>
        <w:jc w:val="both"/>
        <w:rPr>
          <w:rFonts w:ascii="Aptos" w:hAnsi="Aptos" w:cs="Times New Roman"/>
        </w:rPr>
      </w:pPr>
      <w:r w:rsidRPr="00DC7295">
        <w:rPr>
          <w:rFonts w:ascii="Aptos" w:hAnsi="Aptos" w:cs="Times New Roman"/>
        </w:rPr>
        <w:lastRenderedPageBreak/>
        <w:t>Tratamiento ambiental del IPU para predios con zonas de conservación de especies nativas o exóticas y herbarios de jardines botánicos certificados por la autoridad ambiental competente.</w:t>
      </w:r>
    </w:p>
    <w:p w14:paraId="0E3A8274" w14:textId="77777777" w:rsidR="00DC7295" w:rsidRPr="00DC7295" w:rsidRDefault="00DC7295" w:rsidP="00DC7295">
      <w:pPr>
        <w:pStyle w:val="Title"/>
      </w:pPr>
      <w:r w:rsidRPr="00DC7295">
        <w:t>Recomendaciones</w:t>
      </w:r>
    </w:p>
    <w:p w14:paraId="75AB64D1" w14:textId="77777777" w:rsidR="00DC7295" w:rsidRPr="00DC7295" w:rsidRDefault="00DC7295" w:rsidP="00DC7295">
      <w:pPr>
        <w:numPr>
          <w:ilvl w:val="0"/>
          <w:numId w:val="8"/>
        </w:numPr>
        <w:spacing w:line="360" w:lineRule="auto"/>
        <w:jc w:val="both"/>
        <w:rPr>
          <w:rFonts w:ascii="Aptos" w:hAnsi="Aptos" w:cs="Times New Roman"/>
        </w:rPr>
      </w:pPr>
      <w:r w:rsidRPr="00DC7295">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4B47AD78" w14:textId="77777777" w:rsidR="00DC7295" w:rsidRPr="00DC7295" w:rsidRDefault="00DC7295" w:rsidP="00DC7295">
      <w:pPr>
        <w:numPr>
          <w:ilvl w:val="0"/>
          <w:numId w:val="8"/>
        </w:numPr>
        <w:spacing w:line="360" w:lineRule="auto"/>
        <w:jc w:val="both"/>
        <w:rPr>
          <w:rFonts w:ascii="Aptos" w:hAnsi="Aptos" w:cs="Times New Roman"/>
        </w:rPr>
      </w:pPr>
      <w:r w:rsidRPr="00DC7295">
        <w:rPr>
          <w:rFonts w:ascii="Aptos" w:hAnsi="Aptos" w:cs="Times New Roman"/>
        </w:rPr>
        <w:t>Unificar y simplificar las categorías de beneficios y sus porcentajes, precisando criterios de acceso, permanencia y verificación, para asegurar claridad, transparencia y equidad en la liquidación.</w:t>
      </w:r>
    </w:p>
    <w:p w14:paraId="17D6C510" w14:textId="77777777" w:rsidR="00DC7295" w:rsidRPr="00DC7295" w:rsidRDefault="00DC7295" w:rsidP="00DC7295">
      <w:pPr>
        <w:numPr>
          <w:ilvl w:val="0"/>
          <w:numId w:val="8"/>
        </w:numPr>
        <w:spacing w:line="360" w:lineRule="auto"/>
        <w:jc w:val="both"/>
        <w:rPr>
          <w:rFonts w:ascii="Aptos" w:hAnsi="Aptos" w:cs="Times New Roman"/>
        </w:rPr>
      </w:pPr>
      <w:r w:rsidRPr="00DC7295">
        <w:rPr>
          <w:rFonts w:ascii="Aptos" w:hAnsi="Aptos" w:cs="Times New Roman"/>
        </w:rPr>
        <w:t>Complementar el régimen de límites al crecimiento del IPU incorporando lineamientos de la Ley 1995 de 2019, a fin de reforzar la seguridad jurídica y la coherencia con el marco nacional vigente.</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54BA" w14:textId="77777777" w:rsidR="006B7A25" w:rsidRDefault="006B7A25" w:rsidP="00707E60">
      <w:pPr>
        <w:spacing w:after="0" w:line="240" w:lineRule="auto"/>
      </w:pPr>
      <w:r>
        <w:separator/>
      </w:r>
    </w:p>
  </w:endnote>
  <w:endnote w:type="continuationSeparator" w:id="0">
    <w:p w14:paraId="01268A47" w14:textId="77777777" w:rsidR="006B7A25" w:rsidRDefault="006B7A25"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112D" w14:textId="77777777" w:rsidR="006B7A25" w:rsidRDefault="006B7A25" w:rsidP="00707E60">
      <w:pPr>
        <w:spacing w:after="0" w:line="240" w:lineRule="auto"/>
      </w:pPr>
      <w:r>
        <w:separator/>
      </w:r>
    </w:p>
  </w:footnote>
  <w:footnote w:type="continuationSeparator" w:id="0">
    <w:p w14:paraId="6D93BD7E" w14:textId="77777777" w:rsidR="006B7A25" w:rsidRDefault="006B7A25"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505B79A"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DC7295">
                            <w:rPr>
                              <w:color w:val="000000" w:themeColor="text1"/>
                              <w:sz w:val="28"/>
                              <w:szCs w:val="28"/>
                            </w:rPr>
                            <w:t>Guadalupe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505B79A"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DC7295">
                      <w:rPr>
                        <w:color w:val="000000" w:themeColor="text1"/>
                        <w:sz w:val="28"/>
                        <w:szCs w:val="28"/>
                      </w:rPr>
                      <w:t>Guadalupe</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1075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242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1089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C270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3"/>
  </w:num>
  <w:num w:numId="2" w16cid:durableId="1017347282">
    <w:abstractNumId w:val="4"/>
  </w:num>
  <w:num w:numId="3" w16cid:durableId="44450645">
    <w:abstractNumId w:val="5"/>
  </w:num>
  <w:num w:numId="4" w16cid:durableId="1953855267">
    <w:abstractNumId w:val="0"/>
  </w:num>
  <w:num w:numId="5" w16cid:durableId="280110805">
    <w:abstractNumId w:val="6"/>
  </w:num>
  <w:num w:numId="6" w16cid:durableId="1238442786">
    <w:abstractNumId w:val="7"/>
  </w:num>
  <w:num w:numId="7" w16cid:durableId="1384213421">
    <w:abstractNumId w:val="1"/>
  </w:num>
  <w:num w:numId="8" w16cid:durableId="44792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2D84"/>
    <w:rsid w:val="003650D0"/>
    <w:rsid w:val="003A7CEA"/>
    <w:rsid w:val="003E2241"/>
    <w:rsid w:val="004107CA"/>
    <w:rsid w:val="004A51C7"/>
    <w:rsid w:val="005422DF"/>
    <w:rsid w:val="005D08ED"/>
    <w:rsid w:val="005F7A75"/>
    <w:rsid w:val="00605B4C"/>
    <w:rsid w:val="00665846"/>
    <w:rsid w:val="006A249B"/>
    <w:rsid w:val="006B7A25"/>
    <w:rsid w:val="00707E60"/>
    <w:rsid w:val="00813F67"/>
    <w:rsid w:val="00844CC8"/>
    <w:rsid w:val="00845F02"/>
    <w:rsid w:val="00855468"/>
    <w:rsid w:val="009D1F9E"/>
    <w:rsid w:val="00A27409"/>
    <w:rsid w:val="00A55C9A"/>
    <w:rsid w:val="00A60686"/>
    <w:rsid w:val="00A96461"/>
    <w:rsid w:val="00AA7DD4"/>
    <w:rsid w:val="00C04706"/>
    <w:rsid w:val="00C942B0"/>
    <w:rsid w:val="00D37EF2"/>
    <w:rsid w:val="00DB14E5"/>
    <w:rsid w:val="00DC729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6</cp:revision>
  <dcterms:created xsi:type="dcterms:W3CDTF">2025-10-23T17:12:00Z</dcterms:created>
  <dcterms:modified xsi:type="dcterms:W3CDTF">2025-10-23T19:01:00Z</dcterms:modified>
</cp:coreProperties>
</file>