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402A5E" w14:textId="77777777" w:rsidR="004107CA" w:rsidRDefault="004107CA"/>
    <w:p w14:paraId="69C464BD" w14:textId="77777777" w:rsidR="00707E60" w:rsidRDefault="00707E60"/>
    <w:p w14:paraId="7C41B434" w14:textId="77777777" w:rsidR="00707E60" w:rsidRDefault="00707E60"/>
    <w:p w14:paraId="65123F46" w14:textId="77777777" w:rsidR="00707E60" w:rsidRDefault="00707E60"/>
    <w:p w14:paraId="4234CDFE" w14:textId="77777777" w:rsidR="00707E60" w:rsidRDefault="00707E60"/>
    <w:p w14:paraId="7411AD1A" w14:textId="73CF28AB" w:rsidR="00707E60" w:rsidRDefault="00707E60"/>
    <w:p w14:paraId="33230097" w14:textId="669EDDD4" w:rsidR="00707E60" w:rsidRDefault="00707E60" w:rsidP="00707E60">
      <w:pPr>
        <w:jc w:val="center"/>
      </w:pPr>
    </w:p>
    <w:p w14:paraId="524EFE21" w14:textId="331BC161" w:rsidR="00707E60" w:rsidRDefault="00707E60" w:rsidP="00707E60">
      <w:pPr>
        <w:pStyle w:val="NoSpacing"/>
        <w:jc w:val="center"/>
        <w:rPr>
          <w:b/>
          <w:bCs/>
          <w:color w:val="002060"/>
          <w:sz w:val="56"/>
          <w:szCs w:val="56"/>
        </w:rPr>
      </w:pPr>
    </w:p>
    <w:p w14:paraId="06CCB526" w14:textId="4AD669AC" w:rsidR="00707E60" w:rsidRDefault="00707E60" w:rsidP="00707E60">
      <w:pPr>
        <w:pStyle w:val="NoSpacing"/>
        <w:jc w:val="center"/>
        <w:rPr>
          <w:b/>
          <w:bCs/>
          <w:color w:val="002060"/>
          <w:sz w:val="56"/>
          <w:szCs w:val="56"/>
        </w:rPr>
      </w:pPr>
      <w:r w:rsidRPr="001B18EF">
        <w:rPr>
          <w:noProof/>
          <w:lang w:eastAsia="es-CO"/>
        </w:rPr>
        <w:drawing>
          <wp:anchor distT="0" distB="0" distL="114300" distR="114300" simplePos="0" relativeHeight="251659264" behindDoc="0" locked="0" layoutInCell="1" allowOverlap="1" wp14:anchorId="2C40115D" wp14:editId="24C321DE">
            <wp:simplePos x="0" y="0"/>
            <wp:positionH relativeFrom="column">
              <wp:posOffset>1302151</wp:posOffset>
            </wp:positionH>
            <wp:positionV relativeFrom="paragraph">
              <wp:posOffset>166370</wp:posOffset>
            </wp:positionV>
            <wp:extent cx="3268980" cy="942975"/>
            <wp:effectExtent l="0" t="0" r="0" b="0"/>
            <wp:wrapSquare wrapText="bothSides"/>
            <wp:docPr id="719188107"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268980" cy="94297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1F0E95E" w14:textId="0BCC274E" w:rsidR="00707E60" w:rsidRDefault="00707E60" w:rsidP="00707E60">
      <w:pPr>
        <w:pStyle w:val="NoSpacing"/>
        <w:jc w:val="center"/>
        <w:rPr>
          <w:b/>
          <w:bCs/>
          <w:color w:val="002060"/>
          <w:sz w:val="56"/>
          <w:szCs w:val="56"/>
        </w:rPr>
      </w:pPr>
    </w:p>
    <w:p w14:paraId="5CC9BDC5" w14:textId="2A351149" w:rsidR="00707E60" w:rsidRDefault="00707E60" w:rsidP="00707E60">
      <w:pPr>
        <w:pStyle w:val="NoSpacing"/>
        <w:jc w:val="center"/>
        <w:rPr>
          <w:b/>
          <w:bCs/>
          <w:color w:val="002060"/>
          <w:sz w:val="56"/>
          <w:szCs w:val="56"/>
        </w:rPr>
      </w:pPr>
    </w:p>
    <w:p w14:paraId="54E972D6" w14:textId="77777777" w:rsidR="00DD0016" w:rsidRDefault="00DD0016" w:rsidP="00DD0016">
      <w:pPr>
        <w:pStyle w:val="NoSpacing"/>
        <w:jc w:val="center"/>
        <w:rPr>
          <w:b/>
          <w:bCs/>
          <w:color w:val="000000" w:themeColor="text1"/>
          <w:sz w:val="56"/>
          <w:szCs w:val="56"/>
        </w:rPr>
      </w:pPr>
      <w:r w:rsidRPr="00AB4389">
        <w:rPr>
          <w:b/>
          <w:bCs/>
          <w:color w:val="000000" w:themeColor="text1"/>
          <w:sz w:val="56"/>
          <w:szCs w:val="56"/>
        </w:rPr>
        <w:t>Análisis Jurídico de Estatuto Tributario</w:t>
      </w:r>
    </w:p>
    <w:p w14:paraId="68B285CD" w14:textId="77777777" w:rsidR="00707E60" w:rsidRPr="00707E60" w:rsidRDefault="00707E60" w:rsidP="00707E60">
      <w:pPr>
        <w:pStyle w:val="NoSpacing"/>
        <w:jc w:val="center"/>
        <w:rPr>
          <w:color w:val="000000" w:themeColor="text1"/>
          <w:sz w:val="72"/>
          <w:szCs w:val="72"/>
        </w:rPr>
      </w:pPr>
    </w:p>
    <w:p w14:paraId="2FE843B9" w14:textId="5F609141" w:rsidR="00707E60" w:rsidRPr="00707E60" w:rsidRDefault="00707E60" w:rsidP="00707E60">
      <w:pPr>
        <w:pStyle w:val="NoSpacing"/>
        <w:jc w:val="center"/>
        <w:rPr>
          <w:color w:val="000000" w:themeColor="text1"/>
          <w:sz w:val="44"/>
          <w:szCs w:val="44"/>
        </w:rPr>
      </w:pPr>
      <w:r w:rsidRPr="00707E60">
        <w:rPr>
          <w:color w:val="000000" w:themeColor="text1"/>
          <w:sz w:val="44"/>
          <w:szCs w:val="44"/>
        </w:rPr>
        <w:t xml:space="preserve">Municipio: </w:t>
      </w:r>
      <w:r w:rsidR="00E02541">
        <w:rPr>
          <w:color w:val="000000" w:themeColor="text1"/>
          <w:sz w:val="44"/>
          <w:szCs w:val="44"/>
        </w:rPr>
        <w:t>Hispania</w:t>
      </w:r>
    </w:p>
    <w:p w14:paraId="3460615A" w14:textId="77777777" w:rsidR="00707E60" w:rsidRPr="00707E60" w:rsidRDefault="00707E60"/>
    <w:p w14:paraId="0107F43B" w14:textId="77777777" w:rsidR="00707E60" w:rsidRDefault="00707E60"/>
    <w:p w14:paraId="6154161F" w14:textId="77777777" w:rsidR="00707E60" w:rsidRDefault="00707E60"/>
    <w:p w14:paraId="7789B689" w14:textId="77777777" w:rsidR="00707E60" w:rsidRDefault="00707E60"/>
    <w:p w14:paraId="422FC476" w14:textId="77777777" w:rsidR="00707E60" w:rsidRDefault="00707E60"/>
    <w:p w14:paraId="74370256" w14:textId="77777777" w:rsidR="00707E60" w:rsidRDefault="00707E60"/>
    <w:p w14:paraId="25496B82" w14:textId="77777777" w:rsidR="00707E60" w:rsidRDefault="00707E60"/>
    <w:p w14:paraId="0E10EFE4" w14:textId="77777777" w:rsidR="00707E60" w:rsidRDefault="00707E60"/>
    <w:p w14:paraId="5C9DCB25" w14:textId="77777777" w:rsidR="00707E60" w:rsidRDefault="00707E60"/>
    <w:p w14:paraId="63B7F563" w14:textId="77777777" w:rsidR="00A76572" w:rsidRPr="00B23BC2" w:rsidRDefault="00A76572" w:rsidP="00A76572">
      <w:pPr>
        <w:spacing w:line="360" w:lineRule="auto"/>
        <w:jc w:val="both"/>
        <w:rPr>
          <w:rFonts w:ascii="Aptos" w:hAnsi="Aptos" w:cs="Times New Roman"/>
          <w:lang w:val="es-ES"/>
        </w:rPr>
      </w:pPr>
      <w:r w:rsidRPr="00B23BC2">
        <w:rPr>
          <w:rFonts w:ascii="Aptos" w:hAnsi="Aptos" w:cs="Times New Roman"/>
          <w:lang w:val="es-ES"/>
        </w:rPr>
        <w:lastRenderedPageBreak/>
        <w:t>El estado actual de su normatividad tributaria se establece en el Acuerdo 016 de 2021.</w:t>
      </w:r>
    </w:p>
    <w:p w14:paraId="234DB8C0" w14:textId="77777777" w:rsidR="00A76572" w:rsidRPr="00B23BC2" w:rsidRDefault="00A76572" w:rsidP="00A76572">
      <w:pPr>
        <w:spacing w:line="360" w:lineRule="auto"/>
        <w:jc w:val="both"/>
        <w:rPr>
          <w:rFonts w:ascii="Aptos" w:hAnsi="Aptos" w:cs="Times New Roman"/>
          <w:b/>
          <w:bCs/>
          <w:sz w:val="32"/>
          <w:szCs w:val="32"/>
          <w:lang w:val="es-ES"/>
        </w:rPr>
      </w:pPr>
      <w:r w:rsidRPr="00B23BC2">
        <w:rPr>
          <w:rFonts w:ascii="Aptos" w:hAnsi="Aptos" w:cs="Times New Roman"/>
          <w:b/>
          <w:bCs/>
          <w:sz w:val="32"/>
          <w:szCs w:val="32"/>
          <w:lang w:val="es-ES"/>
        </w:rPr>
        <w:t>Hallazgos</w:t>
      </w:r>
    </w:p>
    <w:p w14:paraId="77B552CC"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La tabla de destinos económicos no contempla las modificaciones introducidas por la Resolución 2025060163216 del 14 de marzo de 2025, en la que se redefinen los destinos económicos en los municipios del departamento de Antioquia conforme al modelo LADM-COL versión 4.1. Esta omisión implica un riesgo fiscal por no contar con tarifas para los nuevos destinos; el Municipio podría perder recursos por ausencia de un elemento esencial del tributo.</w:t>
      </w:r>
    </w:p>
    <w:p w14:paraId="02364D08"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El IPU se define como renta municipal directa con carácter real; se exige paz y salvo para escrituración y se exceptúa al tercero adquirente en remate judicial.</w:t>
      </w:r>
    </w:p>
    <w:p w14:paraId="7835D530"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Se consolidan las normas habilitantes y los límites del impuesto en la gestión catastral.</w:t>
      </w:r>
    </w:p>
    <w:p w14:paraId="444095DD" w14:textId="0D7F1EBE"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 xml:space="preserve">Se desarrollan los elementos del tributo: base gravable por avalúo catastral o </w:t>
      </w:r>
      <w:r w:rsidR="00B23BC2" w:rsidRPr="00B23BC2">
        <w:rPr>
          <w:rFonts w:ascii="Aptos" w:hAnsi="Aptos" w:cs="Times New Roman"/>
          <w:lang w:val="es-ES"/>
        </w:rPr>
        <w:t>auto avalúo</w:t>
      </w:r>
      <w:r w:rsidRPr="00B23BC2">
        <w:rPr>
          <w:rFonts w:ascii="Aptos" w:hAnsi="Aptos" w:cs="Times New Roman"/>
          <w:lang w:val="es-ES"/>
        </w:rPr>
        <w:t xml:space="preserve"> con aprobación previa; periodo anual; hecho generador por propiedad o posesión; sujeto activo municipal; sujeto pasivo amplio con reglas de solidaridad, comunidad, propiedad horizontal y concesiones.</w:t>
      </w:r>
    </w:p>
    <w:p w14:paraId="7CC2209D"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La causación se fija al inicio del año; las mutaciones rigen desde su resolución de vigencia.</w:t>
      </w:r>
    </w:p>
    <w:p w14:paraId="3E6A255D"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Se establecen supuestos de no causación para bienes de uso público y fiscal, bienes de bomberos, bienes de interés cultural, bienes entregados materialmente al municipio por obras públicas, estaciones de policía, instituciones educativas públicas, entidades descentralizadas de salud y bienes de JAC para fines comunales.</w:t>
      </w:r>
    </w:p>
    <w:p w14:paraId="09284412"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Se ordena el ajuste anual de avalúos según porcentaje nacional.</w:t>
      </w:r>
    </w:p>
    <w:p w14:paraId="68C80D80"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Se prevé un rango general de tarifas entre 1 y 16 por mil y hasta 33 por mil para ciertos lotes.</w:t>
      </w:r>
    </w:p>
    <w:p w14:paraId="5DBAD2B9"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lastRenderedPageBreak/>
        <w:t>La matriz tarifaria está diferenciada por destinación económica y, en algunos casos, por rangos de avalúo; se reconoce coexistencia temporal de tarifas para predios actualizados y no actualizados y la homologación catastral.</w:t>
      </w:r>
    </w:p>
    <w:p w14:paraId="6332DA46"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Se limita el incremento del impuesto tras formación/actualización conforme a la normativa de referencia y se precisan alcances para no frenar el recaudo en incorporaciones nuevas.</w:t>
      </w:r>
    </w:p>
    <w:p w14:paraId="30EC8BD1"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Se regulan pago, calendario, descuentos por pronto pago, determinación y notificación con título ejecutivo y recurso de reconsideración.</w:t>
      </w:r>
    </w:p>
    <w:p w14:paraId="7DBCA956"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El paz y salvo tiene reglas específicas de vigencia y alcance para predios múltiples, no edificados, proindivisos y transferencias parciales.</w:t>
      </w:r>
    </w:p>
    <w:p w14:paraId="49B95555"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El régimen de exenciones incluye patrimonios históricos/arquitectónicos, parques naturales/públicos, predios de confesiones religiosas, de Policía y Hospital, instituciones educativas, autoridad ambiental regional y prestadores turísticos bajo condiciones; vigencia hasta diez años mediante acto administrativo y proporcionalidad por áreas.</w:t>
      </w:r>
    </w:p>
    <w:p w14:paraId="660B78EA"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Se adopta una sobretasa ambiental del 1,5 por mil con destino específico y transferencias periódicas a la autoridad ambiental; se prohíben descuentos y amnistías sobre esta sobretasa.</w:t>
      </w:r>
    </w:p>
    <w:p w14:paraId="612A9D72"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Se requiere establecer límites y reglas para el rezago catastral; no se observa regulación expresa.</w:t>
      </w:r>
    </w:p>
    <w:p w14:paraId="3AE70298" w14:textId="77777777" w:rsidR="00A76572" w:rsidRPr="00B23BC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En alumbrado público se gravan predios sin consumo de energía, lo que incide en el avalúo como referencia del esquema y requiere fijar límites.</w:t>
      </w:r>
    </w:p>
    <w:p w14:paraId="4B5B5570" w14:textId="77777777" w:rsidR="00A76572" w:rsidRDefault="00A76572" w:rsidP="00A76572">
      <w:pPr>
        <w:numPr>
          <w:ilvl w:val="0"/>
          <w:numId w:val="20"/>
        </w:numPr>
        <w:spacing w:line="360" w:lineRule="auto"/>
        <w:jc w:val="both"/>
        <w:rPr>
          <w:rFonts w:ascii="Aptos" w:hAnsi="Aptos" w:cs="Times New Roman"/>
          <w:lang w:val="es-ES"/>
        </w:rPr>
      </w:pPr>
      <w:r w:rsidRPr="00B23BC2">
        <w:rPr>
          <w:rFonts w:ascii="Aptos" w:hAnsi="Aptos" w:cs="Times New Roman"/>
          <w:lang w:val="es-ES"/>
        </w:rPr>
        <w:t>Se incluyen exenciones para parques naturales y públicos, y se adopta una sobretasa ambiental del 1,5 por mil con destinación específica y transferencias obligatorias a la autoridad ambiental competente.</w:t>
      </w:r>
    </w:p>
    <w:p w14:paraId="34F3FC9A" w14:textId="77777777" w:rsidR="00B23BC2" w:rsidRDefault="00B23BC2" w:rsidP="00B23BC2">
      <w:pPr>
        <w:spacing w:line="360" w:lineRule="auto"/>
        <w:jc w:val="both"/>
        <w:rPr>
          <w:rFonts w:ascii="Aptos" w:hAnsi="Aptos" w:cs="Times New Roman"/>
          <w:lang w:val="es-ES"/>
        </w:rPr>
      </w:pPr>
    </w:p>
    <w:p w14:paraId="02C9BF4D" w14:textId="77777777" w:rsidR="00B23BC2" w:rsidRPr="00B23BC2" w:rsidRDefault="00B23BC2" w:rsidP="00B23BC2">
      <w:pPr>
        <w:spacing w:line="360" w:lineRule="auto"/>
        <w:jc w:val="both"/>
        <w:rPr>
          <w:rFonts w:ascii="Aptos" w:hAnsi="Aptos" w:cs="Times New Roman"/>
          <w:lang w:val="es-ES"/>
        </w:rPr>
      </w:pPr>
    </w:p>
    <w:p w14:paraId="09E989D3" w14:textId="77777777" w:rsidR="00A76572" w:rsidRPr="00B23BC2" w:rsidRDefault="00A76572" w:rsidP="00A76572">
      <w:pPr>
        <w:spacing w:line="360" w:lineRule="auto"/>
        <w:jc w:val="both"/>
        <w:rPr>
          <w:rFonts w:ascii="Aptos" w:hAnsi="Aptos" w:cs="Times New Roman"/>
          <w:b/>
          <w:bCs/>
          <w:sz w:val="32"/>
          <w:szCs w:val="32"/>
          <w:lang w:val="es-ES"/>
        </w:rPr>
      </w:pPr>
      <w:r w:rsidRPr="00B23BC2">
        <w:rPr>
          <w:rFonts w:ascii="Aptos" w:hAnsi="Aptos" w:cs="Times New Roman"/>
          <w:b/>
          <w:bCs/>
          <w:sz w:val="32"/>
          <w:szCs w:val="32"/>
          <w:lang w:val="es-ES"/>
        </w:rPr>
        <w:lastRenderedPageBreak/>
        <w:t>Recomendaciones</w:t>
      </w:r>
    </w:p>
    <w:p w14:paraId="5F5918DA" w14:textId="77777777" w:rsidR="00A76572" w:rsidRPr="00B23BC2" w:rsidRDefault="00A76572" w:rsidP="00A76572">
      <w:pPr>
        <w:numPr>
          <w:ilvl w:val="0"/>
          <w:numId w:val="19"/>
        </w:numPr>
        <w:spacing w:line="360" w:lineRule="auto"/>
        <w:jc w:val="both"/>
        <w:rPr>
          <w:rFonts w:ascii="Aptos" w:hAnsi="Aptos" w:cs="Times New Roman"/>
          <w:lang w:val="es-ES"/>
        </w:rPr>
      </w:pPr>
      <w:r w:rsidRPr="00B23BC2">
        <w:rPr>
          <w:rFonts w:ascii="Aptos" w:hAnsi="Aptos" w:cs="Times New Roman"/>
          <w:lang w:val="es-ES"/>
        </w:rPr>
        <w:t>Adelantar un proceso de actualización normativa que le permita armonizar su regulación con las disposiciones nacionales más recientes. En particular, resulta prioritario adoptar los lineamientos de la Resolución 1040 de 2023 en materia de catastro, así como actualizar la tabla de destinos económicos conforme a la Resolución 2025060163216. Esto garantizará que todos los destinos contemplados en el modelo LADM-COL versión 4.1, cuenten con una tarifa definida, evitando la pérdida de ingresos fiscales.</w:t>
      </w:r>
    </w:p>
    <w:p w14:paraId="781B3BAF" w14:textId="77777777" w:rsidR="00A76572" w:rsidRPr="00B23BC2" w:rsidRDefault="00A76572" w:rsidP="00A76572">
      <w:pPr>
        <w:numPr>
          <w:ilvl w:val="0"/>
          <w:numId w:val="19"/>
        </w:numPr>
        <w:spacing w:line="360" w:lineRule="auto"/>
        <w:jc w:val="both"/>
        <w:rPr>
          <w:rFonts w:ascii="Aptos" w:hAnsi="Aptos" w:cs="Times New Roman"/>
          <w:lang w:val="es-ES"/>
        </w:rPr>
      </w:pPr>
      <w:r w:rsidRPr="00B23BC2">
        <w:rPr>
          <w:rFonts w:ascii="Aptos" w:hAnsi="Aptos" w:cs="Times New Roman"/>
          <w:lang w:val="es-ES"/>
        </w:rPr>
        <w:t>Consolidar y documentar la homologación de destinos económicos y la coexistencia de tarifas para predios actualizados y no actualizados, asegurando correspondencia con la base catastral.</w:t>
      </w:r>
    </w:p>
    <w:p w14:paraId="47CD9645" w14:textId="77777777" w:rsidR="00A76572" w:rsidRPr="00B23BC2" w:rsidRDefault="00A76572" w:rsidP="00A76572">
      <w:pPr>
        <w:numPr>
          <w:ilvl w:val="0"/>
          <w:numId w:val="19"/>
        </w:numPr>
        <w:spacing w:line="360" w:lineRule="auto"/>
        <w:jc w:val="both"/>
        <w:rPr>
          <w:rFonts w:ascii="Aptos" w:hAnsi="Aptos" w:cs="Times New Roman"/>
          <w:lang w:val="es-ES"/>
        </w:rPr>
      </w:pPr>
      <w:r w:rsidRPr="00B23BC2">
        <w:rPr>
          <w:rFonts w:ascii="Aptos" w:hAnsi="Aptos" w:cs="Times New Roman"/>
          <w:lang w:val="es-ES"/>
        </w:rPr>
        <w:t>Definir límites y reglas de gradualidad por rezago catastral con topes anuales, metodología y transición.</w:t>
      </w:r>
    </w:p>
    <w:p w14:paraId="350AABE9" w14:textId="77777777" w:rsidR="00A76572" w:rsidRPr="00B23BC2" w:rsidRDefault="00A76572" w:rsidP="00A76572">
      <w:pPr>
        <w:numPr>
          <w:ilvl w:val="0"/>
          <w:numId w:val="19"/>
        </w:numPr>
        <w:spacing w:line="360" w:lineRule="auto"/>
        <w:jc w:val="both"/>
        <w:rPr>
          <w:rFonts w:ascii="Aptos" w:hAnsi="Aptos" w:cs="Times New Roman"/>
          <w:lang w:val="es-ES"/>
        </w:rPr>
      </w:pPr>
      <w:r w:rsidRPr="00B23BC2">
        <w:rPr>
          <w:rFonts w:ascii="Aptos" w:hAnsi="Aptos" w:cs="Times New Roman"/>
          <w:lang w:val="es-ES"/>
        </w:rPr>
        <w:t>Fortalecer el procedimiento de determinación y notificación: manual operativo, constancias de publicación y trazabilidad.</w:t>
      </w:r>
    </w:p>
    <w:p w14:paraId="7571D120" w14:textId="77777777" w:rsidR="00A76572" w:rsidRPr="00B23BC2" w:rsidRDefault="00A76572" w:rsidP="00A76572">
      <w:pPr>
        <w:numPr>
          <w:ilvl w:val="0"/>
          <w:numId w:val="19"/>
        </w:numPr>
        <w:spacing w:line="360" w:lineRule="auto"/>
        <w:jc w:val="both"/>
        <w:rPr>
          <w:rFonts w:ascii="Aptos" w:hAnsi="Aptos" w:cs="Times New Roman"/>
          <w:lang w:val="es-ES"/>
        </w:rPr>
      </w:pPr>
      <w:r w:rsidRPr="00B23BC2">
        <w:rPr>
          <w:rFonts w:ascii="Aptos" w:hAnsi="Aptos" w:cs="Times New Roman"/>
          <w:lang w:val="es-ES"/>
        </w:rPr>
        <w:t>Ordenar y precisar el régimen de exenciones: duración, proporcionalidad por áreas, exigencias probatorias y causales de pérdida, con verificación periódica por Hacienda.</w:t>
      </w:r>
    </w:p>
    <w:p w14:paraId="2A709D68" w14:textId="77777777" w:rsidR="00A76572" w:rsidRPr="00B23BC2" w:rsidRDefault="00A76572" w:rsidP="00A76572">
      <w:pPr>
        <w:numPr>
          <w:ilvl w:val="0"/>
          <w:numId w:val="19"/>
        </w:numPr>
        <w:spacing w:line="360" w:lineRule="auto"/>
        <w:jc w:val="both"/>
        <w:rPr>
          <w:rFonts w:ascii="Aptos" w:hAnsi="Aptos" w:cs="Times New Roman"/>
          <w:lang w:val="es-ES"/>
        </w:rPr>
      </w:pPr>
      <w:r w:rsidRPr="00B23BC2">
        <w:rPr>
          <w:rFonts w:ascii="Aptos" w:hAnsi="Aptos" w:cs="Times New Roman"/>
          <w:lang w:val="es-ES"/>
        </w:rPr>
        <w:t>Ajustar el impuesto de alumbrado público que grava predios sin consumo: fijar límites, base, procedimientos y coordinación con el IPU para evitar impactos desmedidos.</w:t>
      </w:r>
    </w:p>
    <w:p w14:paraId="412E737A" w14:textId="77777777" w:rsidR="00707E60" w:rsidRPr="00A76572" w:rsidRDefault="00707E60">
      <w:pPr>
        <w:rPr>
          <w:lang w:val="es-ES"/>
        </w:rPr>
      </w:pPr>
    </w:p>
    <w:p w14:paraId="59F5D9C1" w14:textId="77777777" w:rsidR="00707E60" w:rsidRDefault="00707E60"/>
    <w:p w14:paraId="39A1343E" w14:textId="77777777" w:rsidR="00707E60" w:rsidRDefault="00707E60"/>
    <w:p w14:paraId="46B394A7" w14:textId="77777777" w:rsidR="00707E60" w:rsidRDefault="00707E60"/>
    <w:p w14:paraId="19A269B2" w14:textId="77777777" w:rsidR="00707E60" w:rsidRDefault="00707E60"/>
    <w:p w14:paraId="3158B45A" w14:textId="77777777" w:rsidR="00707E60" w:rsidRDefault="00707E60"/>
    <w:p w14:paraId="43A6B5BA" w14:textId="77777777" w:rsidR="00707E60" w:rsidRDefault="00707E60"/>
    <w:sectPr w:rsidR="00707E60" w:rsidSect="00707E60">
      <w:headerReference w:type="default" r:id="rId8"/>
      <w:footerReference w:type="even" r:id="rId9"/>
      <w:footerReference w:type="default" r:id="rId10"/>
      <w:pgSz w:w="12240" w:h="15840"/>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8C8431" w14:textId="77777777" w:rsidR="00E80453" w:rsidRDefault="00E80453" w:rsidP="00707E60">
      <w:pPr>
        <w:spacing w:after="0" w:line="240" w:lineRule="auto"/>
      </w:pPr>
      <w:r>
        <w:separator/>
      </w:r>
    </w:p>
  </w:endnote>
  <w:endnote w:type="continuationSeparator" w:id="0">
    <w:p w14:paraId="315B2F57" w14:textId="77777777" w:rsidR="00E80453" w:rsidRDefault="00E80453" w:rsidP="00707E6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694536840"/>
      <w:docPartObj>
        <w:docPartGallery w:val="Page Numbers (Bottom of Page)"/>
        <w:docPartUnique/>
      </w:docPartObj>
    </w:sdtPr>
    <w:sdtContent>
      <w:p w14:paraId="5B7F2B64" w14:textId="68F29198"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701427EE" w14:textId="77777777" w:rsidR="00707E60" w:rsidRDefault="00707E60" w:rsidP="00707E6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800755832"/>
      <w:docPartObj>
        <w:docPartGallery w:val="Page Numbers (Bottom of Page)"/>
        <w:docPartUnique/>
      </w:docPartObj>
    </w:sdtPr>
    <w:sdtContent>
      <w:p w14:paraId="4BC3D90B" w14:textId="5F218685" w:rsidR="00707E60" w:rsidRDefault="00707E60" w:rsidP="000334B6">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2C2F8937" w14:textId="77777777" w:rsidR="00707E60" w:rsidRDefault="00707E60" w:rsidP="00707E6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72C576" w14:textId="77777777" w:rsidR="00E80453" w:rsidRDefault="00E80453" w:rsidP="00707E60">
      <w:pPr>
        <w:spacing w:after="0" w:line="240" w:lineRule="auto"/>
      </w:pPr>
      <w:r>
        <w:separator/>
      </w:r>
    </w:p>
  </w:footnote>
  <w:footnote w:type="continuationSeparator" w:id="0">
    <w:p w14:paraId="52020445" w14:textId="77777777" w:rsidR="00E80453" w:rsidRDefault="00E80453" w:rsidP="00707E6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BEA336" w14:textId="7FD62BEC" w:rsidR="00707E60" w:rsidRDefault="00707E60" w:rsidP="00707E60">
    <w:pPr>
      <w:pStyle w:val="Header"/>
    </w:pPr>
    <w:r w:rsidRPr="006F3507">
      <w:rPr>
        <w:noProof/>
      </w:rPr>
      <mc:AlternateContent>
        <mc:Choice Requires="wps">
          <w:drawing>
            <wp:anchor distT="0" distB="0" distL="114300" distR="114300" simplePos="0" relativeHeight="251659264" behindDoc="0" locked="0" layoutInCell="1" allowOverlap="1" wp14:anchorId="59CC783E" wp14:editId="59162596">
              <wp:simplePos x="0" y="0"/>
              <wp:positionH relativeFrom="column">
                <wp:posOffset>38500</wp:posOffset>
              </wp:positionH>
              <wp:positionV relativeFrom="paragraph">
                <wp:posOffset>-112696</wp:posOffset>
              </wp:positionV>
              <wp:extent cx="3484345" cy="551145"/>
              <wp:effectExtent l="0" t="0" r="0" b="0"/>
              <wp:wrapNone/>
              <wp:docPr id="4" name="CuadroTexto 3">
                <a:extLst xmlns:a="http://schemas.openxmlformats.org/drawingml/2006/main">
                  <a:ext uri="{FF2B5EF4-FFF2-40B4-BE49-F238E27FC236}">
                    <a16:creationId xmlns:a16="http://schemas.microsoft.com/office/drawing/2014/main" id="{0BAB22FA-B3FF-7701-F2F6-CC0537A91E39}"/>
                  </a:ext>
                </a:extLst>
              </wp:docPr>
              <wp:cNvGraphicFramePr/>
              <a:graphic xmlns:a="http://schemas.openxmlformats.org/drawingml/2006/main">
                <a:graphicData uri="http://schemas.microsoft.com/office/word/2010/wordprocessingShape">
                  <wps:wsp>
                    <wps:cNvSpPr txBox="1"/>
                    <wps:spPr>
                      <a:xfrm>
                        <a:off x="0" y="0"/>
                        <a:ext cx="3484345" cy="551145"/>
                      </a:xfrm>
                      <a:prstGeom prst="rect">
                        <a:avLst/>
                      </a:prstGeom>
                      <a:noFill/>
                    </wps:spPr>
                    <wps:txb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392A09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E02541">
                            <w:rPr>
                              <w:color w:val="000000" w:themeColor="text1"/>
                              <w:sz w:val="28"/>
                              <w:szCs w:val="28"/>
                            </w:rPr>
                            <w:t>Hispania</w:t>
                          </w:r>
                        </w:p>
                      </w:txbxContent>
                    </wps:txbx>
                    <wps:bodyPr wrap="square" rtlCol="0">
                      <a:noAutofit/>
                    </wps:bodyPr>
                  </wps:wsp>
                </a:graphicData>
              </a:graphic>
              <wp14:sizeRelH relativeFrom="margin">
                <wp14:pctWidth>0</wp14:pctWidth>
              </wp14:sizeRelH>
              <wp14:sizeRelV relativeFrom="margin">
                <wp14:pctHeight>0</wp14:pctHeight>
              </wp14:sizeRelV>
            </wp:anchor>
          </w:drawing>
        </mc:Choice>
        <mc:Fallback>
          <w:pict>
            <v:shapetype w14:anchorId="59CC783E" id="_x0000_t202" coordsize="21600,21600" o:spt="202" path="m,l,21600r21600,l21600,xe">
              <v:stroke joinstyle="miter"/>
              <v:path gradientshapeok="t" o:connecttype="rect"/>
            </v:shapetype>
            <v:shape id="CuadroTexto 3" o:spid="_x0000_s1026" type="#_x0000_t202" style="position:absolute;margin-left:3.05pt;margin-top:-8.85pt;width:274.35pt;height:43.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" filled="f" stroked="f">
              <v:textbox>
                <w:txbxContent>
                  <w:p w14:paraId="745AB46E" w14:textId="77777777" w:rsidR="00DD0016" w:rsidRPr="00327CFA" w:rsidRDefault="00DD0016" w:rsidP="00DD0016">
                    <w:pPr>
                      <w:pStyle w:val="NoSpacing"/>
                      <w:rPr>
                        <w:b/>
                        <w:bCs/>
                        <w:color w:val="000000" w:themeColor="text1"/>
                      </w:rPr>
                    </w:pPr>
                    <w:r w:rsidRPr="00AB4389">
                      <w:rPr>
                        <w:b/>
                        <w:bCs/>
                        <w:color w:val="000000" w:themeColor="text1"/>
                      </w:rPr>
                      <w:t>Análisis Jurídico de Estatuto Tributario</w:t>
                    </w:r>
                  </w:p>
                  <w:p w14:paraId="55DF06F3" w14:textId="3392A09D" w:rsidR="00707E60" w:rsidRPr="00707E60" w:rsidRDefault="00707E60" w:rsidP="00707E60">
                    <w:pPr>
                      <w:pStyle w:val="NoSpacing"/>
                      <w:rPr>
                        <w:color w:val="000000" w:themeColor="text1"/>
                        <w:sz w:val="28"/>
                        <w:szCs w:val="28"/>
                      </w:rPr>
                    </w:pPr>
                    <w:r w:rsidRPr="00707E60">
                      <w:rPr>
                        <w:color w:val="000000" w:themeColor="text1"/>
                        <w:sz w:val="28"/>
                        <w:szCs w:val="28"/>
                      </w:rPr>
                      <w:t>Ficha Municipio</w:t>
                    </w:r>
                    <w:r w:rsidR="00723620">
                      <w:rPr>
                        <w:color w:val="000000" w:themeColor="text1"/>
                        <w:sz w:val="28"/>
                        <w:szCs w:val="28"/>
                      </w:rPr>
                      <w:t xml:space="preserve"> </w:t>
                    </w:r>
                    <w:r w:rsidR="00E02541">
                      <w:rPr>
                        <w:color w:val="000000" w:themeColor="text1"/>
                        <w:sz w:val="28"/>
                        <w:szCs w:val="28"/>
                      </w:rPr>
                      <w:t>Hispania</w:t>
                    </w:r>
                  </w:p>
                </w:txbxContent>
              </v:textbox>
            </v:shape>
          </w:pict>
        </mc:Fallback>
      </mc:AlternateContent>
    </w:r>
    <w:r w:rsidRPr="001B18EF">
      <w:rPr>
        <w:noProof/>
        <w:lang w:eastAsia="es-CO"/>
      </w:rPr>
      <w:drawing>
        <wp:anchor distT="0" distB="0" distL="114300" distR="114300" simplePos="0" relativeHeight="251660288" behindDoc="0" locked="0" layoutInCell="1" allowOverlap="1" wp14:anchorId="015C3FBD" wp14:editId="7BF962BD">
          <wp:simplePos x="0" y="0"/>
          <wp:positionH relativeFrom="column">
            <wp:posOffset>3844925</wp:posOffset>
          </wp:positionH>
          <wp:positionV relativeFrom="paragraph">
            <wp:posOffset>-174224</wp:posOffset>
          </wp:positionV>
          <wp:extent cx="2125345" cy="612775"/>
          <wp:effectExtent l="0" t="0" r="0" b="0"/>
          <wp:wrapSquare wrapText="bothSides"/>
          <wp:docPr id="866569291" name="Picture 9" descr="A black and grey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569291" name="Picture 9" descr="A black and grey logo&#10;&#10;AI-generated content may be incorrect."/>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125345" cy="61277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C75253"/>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864205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85656B6"/>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C801299"/>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37385E"/>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1F823F5"/>
    <w:multiLevelType w:val="hybridMultilevel"/>
    <w:tmpl w:val="7056F5CC"/>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6" w15:restartNumberingAfterBreak="0">
    <w:nsid w:val="39023C47"/>
    <w:multiLevelType w:val="hybridMultilevel"/>
    <w:tmpl w:val="7FE052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EAC1018"/>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086174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1F91FF4"/>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9127BE5"/>
    <w:multiLevelType w:val="hybridMultilevel"/>
    <w:tmpl w:val="B8A64F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B780CED"/>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FC62DA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215445C"/>
    <w:multiLevelType w:val="hybridMultilevel"/>
    <w:tmpl w:val="8286C66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4" w15:restartNumberingAfterBreak="0">
    <w:nsid w:val="53E07E97"/>
    <w:multiLevelType w:val="hybridMultilevel"/>
    <w:tmpl w:val="5FAA7C9C"/>
    <w:lvl w:ilvl="0" w:tplc="080A0001">
      <w:start w:val="1"/>
      <w:numFmt w:val="bullet"/>
      <w:lvlText w:val=""/>
      <w:lvlJc w:val="left"/>
      <w:pPr>
        <w:ind w:left="1440" w:hanging="360"/>
      </w:pPr>
      <w:rPr>
        <w:rFonts w:ascii="Symbol" w:hAnsi="Symbol" w:hint="default"/>
      </w:r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5" w15:restartNumberingAfterBreak="0">
    <w:nsid w:val="58340287"/>
    <w:multiLevelType w:val="hybridMultilevel"/>
    <w:tmpl w:val="300EF58E"/>
    <w:lvl w:ilvl="0" w:tplc="080A0001">
      <w:start w:val="1"/>
      <w:numFmt w:val="bullet"/>
      <w:lvlText w:val=""/>
      <w:lvlJc w:val="left"/>
      <w:pPr>
        <w:ind w:left="1440" w:hanging="360"/>
      </w:pPr>
      <w:rPr>
        <w:rFonts w:ascii="Symbol" w:hAnsi="Symbol" w:hint="default"/>
      </w:rPr>
    </w:lvl>
    <w:lvl w:ilvl="1" w:tplc="080A0003" w:tentative="1">
      <w:start w:val="1"/>
      <w:numFmt w:val="bullet"/>
      <w:lvlText w:val="o"/>
      <w:lvlJc w:val="left"/>
      <w:pPr>
        <w:ind w:left="2160" w:hanging="360"/>
      </w:pPr>
      <w:rPr>
        <w:rFonts w:ascii="Courier New" w:hAnsi="Courier New" w:cs="Courier New" w:hint="default"/>
      </w:rPr>
    </w:lvl>
    <w:lvl w:ilvl="2" w:tplc="080A0005" w:tentative="1">
      <w:start w:val="1"/>
      <w:numFmt w:val="bullet"/>
      <w:lvlText w:val=""/>
      <w:lvlJc w:val="left"/>
      <w:pPr>
        <w:ind w:left="2880" w:hanging="360"/>
      </w:pPr>
      <w:rPr>
        <w:rFonts w:ascii="Wingdings" w:hAnsi="Wingdings" w:hint="default"/>
      </w:rPr>
    </w:lvl>
    <w:lvl w:ilvl="3" w:tplc="080A0001" w:tentative="1">
      <w:start w:val="1"/>
      <w:numFmt w:val="bullet"/>
      <w:lvlText w:val=""/>
      <w:lvlJc w:val="left"/>
      <w:pPr>
        <w:ind w:left="3600" w:hanging="360"/>
      </w:pPr>
      <w:rPr>
        <w:rFonts w:ascii="Symbol" w:hAnsi="Symbol" w:hint="default"/>
      </w:rPr>
    </w:lvl>
    <w:lvl w:ilvl="4" w:tplc="080A0003" w:tentative="1">
      <w:start w:val="1"/>
      <w:numFmt w:val="bullet"/>
      <w:lvlText w:val="o"/>
      <w:lvlJc w:val="left"/>
      <w:pPr>
        <w:ind w:left="4320" w:hanging="360"/>
      </w:pPr>
      <w:rPr>
        <w:rFonts w:ascii="Courier New" w:hAnsi="Courier New" w:cs="Courier New" w:hint="default"/>
      </w:rPr>
    </w:lvl>
    <w:lvl w:ilvl="5" w:tplc="080A0005" w:tentative="1">
      <w:start w:val="1"/>
      <w:numFmt w:val="bullet"/>
      <w:lvlText w:val=""/>
      <w:lvlJc w:val="left"/>
      <w:pPr>
        <w:ind w:left="5040" w:hanging="360"/>
      </w:pPr>
      <w:rPr>
        <w:rFonts w:ascii="Wingdings" w:hAnsi="Wingdings" w:hint="default"/>
      </w:rPr>
    </w:lvl>
    <w:lvl w:ilvl="6" w:tplc="080A0001" w:tentative="1">
      <w:start w:val="1"/>
      <w:numFmt w:val="bullet"/>
      <w:lvlText w:val=""/>
      <w:lvlJc w:val="left"/>
      <w:pPr>
        <w:ind w:left="5760" w:hanging="360"/>
      </w:pPr>
      <w:rPr>
        <w:rFonts w:ascii="Symbol" w:hAnsi="Symbol" w:hint="default"/>
      </w:rPr>
    </w:lvl>
    <w:lvl w:ilvl="7" w:tplc="080A0003" w:tentative="1">
      <w:start w:val="1"/>
      <w:numFmt w:val="bullet"/>
      <w:lvlText w:val="o"/>
      <w:lvlJc w:val="left"/>
      <w:pPr>
        <w:ind w:left="6480" w:hanging="360"/>
      </w:pPr>
      <w:rPr>
        <w:rFonts w:ascii="Courier New" w:hAnsi="Courier New" w:cs="Courier New" w:hint="default"/>
      </w:rPr>
    </w:lvl>
    <w:lvl w:ilvl="8" w:tplc="080A0005" w:tentative="1">
      <w:start w:val="1"/>
      <w:numFmt w:val="bullet"/>
      <w:lvlText w:val=""/>
      <w:lvlJc w:val="left"/>
      <w:pPr>
        <w:ind w:left="7200" w:hanging="360"/>
      </w:pPr>
      <w:rPr>
        <w:rFonts w:ascii="Wingdings" w:hAnsi="Wingdings" w:hint="default"/>
      </w:rPr>
    </w:lvl>
  </w:abstractNum>
  <w:abstractNum w:abstractNumId="16" w15:restartNumberingAfterBreak="0">
    <w:nsid w:val="5ED71B67"/>
    <w:multiLevelType w:val="multilevel"/>
    <w:tmpl w:val="BBF079EE"/>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DF2431"/>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52D16B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7E011F3"/>
    <w:multiLevelType w:val="multilevel"/>
    <w:tmpl w:val="C63ECCDA"/>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17704">
    <w:abstractNumId w:val="6"/>
  </w:num>
  <w:num w:numId="2" w16cid:durableId="1017347282">
    <w:abstractNumId w:val="10"/>
  </w:num>
  <w:num w:numId="3" w16cid:durableId="44450645">
    <w:abstractNumId w:val="16"/>
  </w:num>
  <w:num w:numId="4" w16cid:durableId="1953855267">
    <w:abstractNumId w:val="0"/>
  </w:num>
  <w:num w:numId="5" w16cid:durableId="279457733">
    <w:abstractNumId w:val="7"/>
  </w:num>
  <w:num w:numId="6" w16cid:durableId="829055416">
    <w:abstractNumId w:val="1"/>
  </w:num>
  <w:num w:numId="7" w16cid:durableId="1974747392">
    <w:abstractNumId w:val="4"/>
  </w:num>
  <w:num w:numId="8" w16cid:durableId="1342120387">
    <w:abstractNumId w:val="12"/>
  </w:num>
  <w:num w:numId="9" w16cid:durableId="350257001">
    <w:abstractNumId w:val="3"/>
  </w:num>
  <w:num w:numId="10" w16cid:durableId="1078140204">
    <w:abstractNumId w:val="8"/>
  </w:num>
  <w:num w:numId="11" w16cid:durableId="1792938771">
    <w:abstractNumId w:val="9"/>
  </w:num>
  <w:num w:numId="12" w16cid:durableId="1526560268">
    <w:abstractNumId w:val="17"/>
  </w:num>
  <w:num w:numId="13" w16cid:durableId="684139451">
    <w:abstractNumId w:val="18"/>
  </w:num>
  <w:num w:numId="14" w16cid:durableId="2066485375">
    <w:abstractNumId w:val="19"/>
  </w:num>
  <w:num w:numId="15" w16cid:durableId="1048799774">
    <w:abstractNumId w:val="2"/>
  </w:num>
  <w:num w:numId="16" w16cid:durableId="763765178">
    <w:abstractNumId w:val="11"/>
  </w:num>
  <w:num w:numId="17" w16cid:durableId="1841503235">
    <w:abstractNumId w:val="15"/>
  </w:num>
  <w:num w:numId="18" w16cid:durableId="850992304">
    <w:abstractNumId w:val="14"/>
  </w:num>
  <w:num w:numId="19" w16cid:durableId="1556309810">
    <w:abstractNumId w:val="5"/>
  </w:num>
  <w:num w:numId="20" w16cid:durableId="49808220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7E60"/>
    <w:rsid w:val="00084B98"/>
    <w:rsid w:val="00120797"/>
    <w:rsid w:val="00134527"/>
    <w:rsid w:val="00211E44"/>
    <w:rsid w:val="0023618C"/>
    <w:rsid w:val="0027082C"/>
    <w:rsid w:val="0031580C"/>
    <w:rsid w:val="003650D0"/>
    <w:rsid w:val="003A7CEA"/>
    <w:rsid w:val="003E2241"/>
    <w:rsid w:val="004107CA"/>
    <w:rsid w:val="004211E5"/>
    <w:rsid w:val="005025F7"/>
    <w:rsid w:val="0053295E"/>
    <w:rsid w:val="005422DF"/>
    <w:rsid w:val="005B7CC0"/>
    <w:rsid w:val="005C3FCA"/>
    <w:rsid w:val="005D08ED"/>
    <w:rsid w:val="005F7A75"/>
    <w:rsid w:val="00605B4C"/>
    <w:rsid w:val="00665846"/>
    <w:rsid w:val="006A249B"/>
    <w:rsid w:val="006C7AFA"/>
    <w:rsid w:val="00701CC9"/>
    <w:rsid w:val="00707E60"/>
    <w:rsid w:val="00723620"/>
    <w:rsid w:val="00813F67"/>
    <w:rsid w:val="008440F9"/>
    <w:rsid w:val="00844CC8"/>
    <w:rsid w:val="00845F02"/>
    <w:rsid w:val="00855468"/>
    <w:rsid w:val="008A3682"/>
    <w:rsid w:val="009D1788"/>
    <w:rsid w:val="009D1F9E"/>
    <w:rsid w:val="00A27409"/>
    <w:rsid w:val="00A53B01"/>
    <w:rsid w:val="00A55C9A"/>
    <w:rsid w:val="00A60686"/>
    <w:rsid w:val="00A76572"/>
    <w:rsid w:val="00A96461"/>
    <w:rsid w:val="00AA7DD4"/>
    <w:rsid w:val="00B23BC2"/>
    <w:rsid w:val="00B9278F"/>
    <w:rsid w:val="00B9597A"/>
    <w:rsid w:val="00BC7035"/>
    <w:rsid w:val="00BE3801"/>
    <w:rsid w:val="00C04706"/>
    <w:rsid w:val="00C24423"/>
    <w:rsid w:val="00C3440A"/>
    <w:rsid w:val="00C4509C"/>
    <w:rsid w:val="00C942B0"/>
    <w:rsid w:val="00C956B7"/>
    <w:rsid w:val="00D37EF2"/>
    <w:rsid w:val="00DB14E5"/>
    <w:rsid w:val="00DD0016"/>
    <w:rsid w:val="00E02541"/>
    <w:rsid w:val="00E20840"/>
    <w:rsid w:val="00E608BE"/>
    <w:rsid w:val="00E80453"/>
    <w:rsid w:val="00F27231"/>
    <w:rsid w:val="00F65205"/>
    <w:rsid w:val="00FD5F5F"/>
  </w:rsids>
  <m:mathPr>
    <m:mathFont m:val="Cambria Math"/>
    <m:brkBin m:val="before"/>
    <m:brkBinSub m:val="--"/>
    <m:smallFrac m:val="0"/>
    <m:dispDef/>
    <m:lMargin m:val="0"/>
    <m:rMargin m:val="0"/>
    <m:defJc m:val="centerGroup"/>
    <m:wrapIndent m:val="1440"/>
    <m:intLim m:val="subSup"/>
    <m:naryLim m:val="undOvr"/>
  </m:mathPr>
  <w:themeFontLang w:val="en-CO"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D2BB83"/>
  <w15:chartTrackingRefBased/>
  <w15:docId w15:val="{AC92E50B-06D8-7E40-8625-54C1C78544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07E60"/>
    <w:pPr>
      <w:spacing w:after="160" w:line="259" w:lineRule="auto"/>
    </w:pPr>
    <w:rPr>
      <w:rFonts w:eastAsiaTheme="minorHAnsi"/>
      <w:sz w:val="22"/>
      <w:szCs w:val="22"/>
      <w:lang w:val="es-CO" w:eastAsia="en-US"/>
    </w:rPr>
  </w:style>
  <w:style w:type="paragraph" w:styleId="Heading1">
    <w:name w:val="heading 1"/>
    <w:basedOn w:val="Normal"/>
    <w:next w:val="Normal"/>
    <w:link w:val="Heading1Char"/>
    <w:uiPriority w:val="9"/>
    <w:qFormat/>
    <w:rsid w:val="00707E6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07E6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07E6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7E6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7E6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7E6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7E6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7E6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7E6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7E60"/>
    <w:rPr>
      <w:rFonts w:asciiTheme="majorHAnsi" w:eastAsiaTheme="majorEastAsia" w:hAnsiTheme="majorHAnsi" w:cstheme="majorBidi"/>
      <w:color w:val="0F4761" w:themeColor="accent1" w:themeShade="BF"/>
      <w:sz w:val="40"/>
      <w:szCs w:val="40"/>
      <w:lang w:val="es-ES"/>
    </w:rPr>
  </w:style>
  <w:style w:type="character" w:customStyle="1" w:styleId="Heading2Char">
    <w:name w:val="Heading 2 Char"/>
    <w:basedOn w:val="DefaultParagraphFont"/>
    <w:link w:val="Heading2"/>
    <w:uiPriority w:val="9"/>
    <w:semiHidden/>
    <w:rsid w:val="00707E60"/>
    <w:rPr>
      <w:rFonts w:asciiTheme="majorHAnsi" w:eastAsiaTheme="majorEastAsia" w:hAnsiTheme="majorHAnsi" w:cstheme="majorBidi"/>
      <w:color w:val="0F4761" w:themeColor="accent1" w:themeShade="BF"/>
      <w:sz w:val="32"/>
      <w:szCs w:val="32"/>
      <w:lang w:val="es-ES"/>
    </w:rPr>
  </w:style>
  <w:style w:type="character" w:customStyle="1" w:styleId="Heading3Char">
    <w:name w:val="Heading 3 Char"/>
    <w:basedOn w:val="DefaultParagraphFont"/>
    <w:link w:val="Heading3"/>
    <w:uiPriority w:val="9"/>
    <w:semiHidden/>
    <w:rsid w:val="00707E60"/>
    <w:rPr>
      <w:rFonts w:eastAsiaTheme="majorEastAsia" w:cstheme="majorBidi"/>
      <w:color w:val="0F4761" w:themeColor="accent1" w:themeShade="BF"/>
      <w:sz w:val="28"/>
      <w:szCs w:val="28"/>
      <w:lang w:val="es-ES"/>
    </w:rPr>
  </w:style>
  <w:style w:type="character" w:customStyle="1" w:styleId="Heading4Char">
    <w:name w:val="Heading 4 Char"/>
    <w:basedOn w:val="DefaultParagraphFont"/>
    <w:link w:val="Heading4"/>
    <w:uiPriority w:val="9"/>
    <w:semiHidden/>
    <w:rsid w:val="00707E60"/>
    <w:rPr>
      <w:rFonts w:eastAsiaTheme="majorEastAsia" w:cstheme="majorBidi"/>
      <w:i/>
      <w:iCs/>
      <w:color w:val="0F4761" w:themeColor="accent1" w:themeShade="BF"/>
      <w:lang w:val="es-ES"/>
    </w:rPr>
  </w:style>
  <w:style w:type="character" w:customStyle="1" w:styleId="Heading5Char">
    <w:name w:val="Heading 5 Char"/>
    <w:basedOn w:val="DefaultParagraphFont"/>
    <w:link w:val="Heading5"/>
    <w:uiPriority w:val="9"/>
    <w:semiHidden/>
    <w:rsid w:val="00707E60"/>
    <w:rPr>
      <w:rFonts w:eastAsiaTheme="majorEastAsia" w:cstheme="majorBidi"/>
      <w:color w:val="0F4761" w:themeColor="accent1" w:themeShade="BF"/>
      <w:lang w:val="es-ES"/>
    </w:rPr>
  </w:style>
  <w:style w:type="character" w:customStyle="1" w:styleId="Heading6Char">
    <w:name w:val="Heading 6 Char"/>
    <w:basedOn w:val="DefaultParagraphFont"/>
    <w:link w:val="Heading6"/>
    <w:uiPriority w:val="9"/>
    <w:semiHidden/>
    <w:rsid w:val="00707E60"/>
    <w:rPr>
      <w:rFonts w:eastAsiaTheme="majorEastAsia" w:cstheme="majorBidi"/>
      <w:i/>
      <w:iCs/>
      <w:color w:val="595959" w:themeColor="text1" w:themeTint="A6"/>
      <w:lang w:val="es-ES"/>
    </w:rPr>
  </w:style>
  <w:style w:type="character" w:customStyle="1" w:styleId="Heading7Char">
    <w:name w:val="Heading 7 Char"/>
    <w:basedOn w:val="DefaultParagraphFont"/>
    <w:link w:val="Heading7"/>
    <w:uiPriority w:val="9"/>
    <w:semiHidden/>
    <w:rsid w:val="00707E60"/>
    <w:rPr>
      <w:rFonts w:eastAsiaTheme="majorEastAsia" w:cstheme="majorBidi"/>
      <w:color w:val="595959" w:themeColor="text1" w:themeTint="A6"/>
      <w:lang w:val="es-ES"/>
    </w:rPr>
  </w:style>
  <w:style w:type="character" w:customStyle="1" w:styleId="Heading8Char">
    <w:name w:val="Heading 8 Char"/>
    <w:basedOn w:val="DefaultParagraphFont"/>
    <w:link w:val="Heading8"/>
    <w:uiPriority w:val="9"/>
    <w:semiHidden/>
    <w:rsid w:val="00707E60"/>
    <w:rPr>
      <w:rFonts w:eastAsiaTheme="majorEastAsia" w:cstheme="majorBidi"/>
      <w:i/>
      <w:iCs/>
      <w:color w:val="272727" w:themeColor="text1" w:themeTint="D8"/>
      <w:lang w:val="es-ES"/>
    </w:rPr>
  </w:style>
  <w:style w:type="character" w:customStyle="1" w:styleId="Heading9Char">
    <w:name w:val="Heading 9 Char"/>
    <w:basedOn w:val="DefaultParagraphFont"/>
    <w:link w:val="Heading9"/>
    <w:uiPriority w:val="9"/>
    <w:semiHidden/>
    <w:rsid w:val="00707E60"/>
    <w:rPr>
      <w:rFonts w:eastAsiaTheme="majorEastAsia" w:cstheme="majorBidi"/>
      <w:color w:val="272727" w:themeColor="text1" w:themeTint="D8"/>
      <w:lang w:val="es-ES"/>
    </w:rPr>
  </w:style>
  <w:style w:type="paragraph" w:styleId="Title">
    <w:name w:val="Title"/>
    <w:basedOn w:val="Subtitle"/>
    <w:next w:val="Normal"/>
    <w:link w:val="TitleChar"/>
    <w:uiPriority w:val="10"/>
    <w:qFormat/>
    <w:rsid w:val="00AA7DD4"/>
    <w:pPr>
      <w:spacing w:line="360" w:lineRule="auto"/>
      <w:ind w:left="1080" w:hanging="720"/>
      <w:contextualSpacing/>
      <w:jc w:val="both"/>
    </w:pPr>
    <w:rPr>
      <w:b/>
      <w:bCs/>
      <w:color w:val="000000" w:themeColor="text1"/>
      <w:sz w:val="32"/>
      <w:szCs w:val="32"/>
    </w:rPr>
  </w:style>
  <w:style w:type="character" w:customStyle="1" w:styleId="TitleChar">
    <w:name w:val="Title Char"/>
    <w:basedOn w:val="DefaultParagraphFont"/>
    <w:link w:val="Title"/>
    <w:uiPriority w:val="10"/>
    <w:rsid w:val="00AA7DD4"/>
    <w:rPr>
      <w:rFonts w:eastAsiaTheme="majorEastAsia" w:cstheme="majorBidi"/>
      <w:b/>
      <w:bCs/>
      <w:color w:val="000000" w:themeColor="text1"/>
      <w:spacing w:val="15"/>
      <w:sz w:val="32"/>
      <w:szCs w:val="32"/>
      <w:lang w:val="es-CO" w:eastAsia="en-US"/>
    </w:rPr>
  </w:style>
  <w:style w:type="paragraph" w:styleId="Subtitle">
    <w:name w:val="Subtitle"/>
    <w:basedOn w:val="Normal"/>
    <w:next w:val="Normal"/>
    <w:link w:val="SubtitleChar"/>
    <w:uiPriority w:val="11"/>
    <w:qFormat/>
    <w:rsid w:val="00707E6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7E60"/>
    <w:rPr>
      <w:rFonts w:eastAsiaTheme="majorEastAsia" w:cstheme="majorBidi"/>
      <w:color w:val="595959" w:themeColor="text1" w:themeTint="A6"/>
      <w:spacing w:val="15"/>
      <w:sz w:val="28"/>
      <w:szCs w:val="28"/>
      <w:lang w:val="es-ES"/>
    </w:rPr>
  </w:style>
  <w:style w:type="paragraph" w:styleId="Quote">
    <w:name w:val="Quote"/>
    <w:basedOn w:val="Normal"/>
    <w:next w:val="Normal"/>
    <w:link w:val="QuoteChar"/>
    <w:uiPriority w:val="29"/>
    <w:qFormat/>
    <w:rsid w:val="00707E60"/>
    <w:pPr>
      <w:spacing w:before="160"/>
      <w:jc w:val="center"/>
    </w:pPr>
    <w:rPr>
      <w:i/>
      <w:iCs/>
      <w:color w:val="404040" w:themeColor="text1" w:themeTint="BF"/>
    </w:rPr>
  </w:style>
  <w:style w:type="character" w:customStyle="1" w:styleId="QuoteChar">
    <w:name w:val="Quote Char"/>
    <w:basedOn w:val="DefaultParagraphFont"/>
    <w:link w:val="Quote"/>
    <w:uiPriority w:val="29"/>
    <w:rsid w:val="00707E60"/>
    <w:rPr>
      <w:i/>
      <w:iCs/>
      <w:color w:val="404040" w:themeColor="text1" w:themeTint="BF"/>
      <w:lang w:val="es-ES"/>
    </w:rPr>
  </w:style>
  <w:style w:type="paragraph" w:styleId="ListParagraph">
    <w:name w:val="List Paragraph"/>
    <w:aliases w:val="Numerado informes,Bibliografía Tesis,Figuras,parrafo,Bolita,Viñeta 4ta"/>
    <w:basedOn w:val="Normal"/>
    <w:link w:val="ListParagraphChar"/>
    <w:uiPriority w:val="34"/>
    <w:qFormat/>
    <w:rsid w:val="00707E60"/>
    <w:pPr>
      <w:ind w:left="720"/>
      <w:contextualSpacing/>
    </w:pPr>
  </w:style>
  <w:style w:type="character" w:styleId="IntenseEmphasis">
    <w:name w:val="Intense Emphasis"/>
    <w:basedOn w:val="DefaultParagraphFont"/>
    <w:uiPriority w:val="21"/>
    <w:qFormat/>
    <w:rsid w:val="00707E60"/>
    <w:rPr>
      <w:i/>
      <w:iCs/>
      <w:color w:val="0F4761" w:themeColor="accent1" w:themeShade="BF"/>
    </w:rPr>
  </w:style>
  <w:style w:type="paragraph" w:styleId="IntenseQuote">
    <w:name w:val="Intense Quote"/>
    <w:basedOn w:val="Normal"/>
    <w:next w:val="Normal"/>
    <w:link w:val="IntenseQuoteChar"/>
    <w:uiPriority w:val="30"/>
    <w:qFormat/>
    <w:rsid w:val="00707E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7E60"/>
    <w:rPr>
      <w:i/>
      <w:iCs/>
      <w:color w:val="0F4761" w:themeColor="accent1" w:themeShade="BF"/>
      <w:lang w:val="es-ES"/>
    </w:rPr>
  </w:style>
  <w:style w:type="character" w:styleId="IntenseReference">
    <w:name w:val="Intense Reference"/>
    <w:basedOn w:val="DefaultParagraphFont"/>
    <w:uiPriority w:val="32"/>
    <w:qFormat/>
    <w:rsid w:val="00707E60"/>
    <w:rPr>
      <w:b/>
      <w:bCs/>
      <w:smallCaps/>
      <w:color w:val="0F4761" w:themeColor="accent1" w:themeShade="BF"/>
      <w:spacing w:val="5"/>
    </w:rPr>
  </w:style>
  <w:style w:type="paragraph" w:styleId="Header">
    <w:name w:val="header"/>
    <w:basedOn w:val="Normal"/>
    <w:link w:val="HeaderChar"/>
    <w:uiPriority w:val="99"/>
    <w:unhideWhenUsed/>
    <w:rsid w:val="00707E60"/>
    <w:pPr>
      <w:tabs>
        <w:tab w:val="center" w:pos="4680"/>
        <w:tab w:val="right" w:pos="9360"/>
      </w:tabs>
    </w:pPr>
  </w:style>
  <w:style w:type="character" w:customStyle="1" w:styleId="HeaderChar">
    <w:name w:val="Header Char"/>
    <w:basedOn w:val="DefaultParagraphFont"/>
    <w:link w:val="Header"/>
    <w:uiPriority w:val="99"/>
    <w:rsid w:val="00707E60"/>
    <w:rPr>
      <w:lang w:val="es-ES"/>
    </w:rPr>
  </w:style>
  <w:style w:type="paragraph" w:styleId="Footer">
    <w:name w:val="footer"/>
    <w:basedOn w:val="Normal"/>
    <w:link w:val="FooterChar"/>
    <w:uiPriority w:val="99"/>
    <w:unhideWhenUsed/>
    <w:rsid w:val="00707E60"/>
    <w:pPr>
      <w:tabs>
        <w:tab w:val="center" w:pos="4680"/>
        <w:tab w:val="right" w:pos="9360"/>
      </w:tabs>
    </w:pPr>
  </w:style>
  <w:style w:type="character" w:customStyle="1" w:styleId="FooterChar">
    <w:name w:val="Footer Char"/>
    <w:basedOn w:val="DefaultParagraphFont"/>
    <w:link w:val="Footer"/>
    <w:uiPriority w:val="99"/>
    <w:rsid w:val="00707E60"/>
    <w:rPr>
      <w:lang w:val="es-ES"/>
    </w:rPr>
  </w:style>
  <w:style w:type="paragraph" w:styleId="NoSpacing">
    <w:name w:val="No Spacing"/>
    <w:uiPriority w:val="1"/>
    <w:qFormat/>
    <w:rsid w:val="00707E60"/>
    <w:rPr>
      <w:rFonts w:eastAsiaTheme="minorHAnsi"/>
      <w:kern w:val="2"/>
      <w:sz w:val="22"/>
      <w:szCs w:val="22"/>
      <w:lang w:val="es-CO" w:eastAsia="en-US"/>
      <w14:ligatures w14:val="standardContextual"/>
    </w:rPr>
  </w:style>
  <w:style w:type="character" w:customStyle="1" w:styleId="ListParagraphChar">
    <w:name w:val="List Paragraph Char"/>
    <w:aliases w:val="Numerado informes Char,Bibliografía Tesis Char,Figuras Char,parrafo Char,Bolita Char,Viñeta 4ta Char"/>
    <w:link w:val="ListParagraph"/>
    <w:uiPriority w:val="34"/>
    <w:locked/>
    <w:rsid w:val="00707E60"/>
    <w:rPr>
      <w:lang w:val="es-ES"/>
    </w:rPr>
  </w:style>
  <w:style w:type="character" w:styleId="PageNumber">
    <w:name w:val="page number"/>
    <w:basedOn w:val="DefaultParagraphFont"/>
    <w:uiPriority w:val="99"/>
    <w:semiHidden/>
    <w:unhideWhenUsed/>
    <w:rsid w:val="00707E60"/>
  </w:style>
  <w:style w:type="paragraph" w:customStyle="1" w:styleId="Style1">
    <w:name w:val="Style1"/>
    <w:basedOn w:val="Normal"/>
    <w:qFormat/>
    <w:rsid w:val="00AA7DD4"/>
    <w:pPr>
      <w:spacing w:line="360" w:lineRule="auto"/>
      <w:ind w:left="720" w:hanging="360"/>
      <w:jc w:val="both"/>
    </w:pPr>
    <w:rPr>
      <w:rFonts w:ascii="Aptos" w:hAnsi="Aptos"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4</Pages>
  <Words>698</Words>
  <Characters>3985</Characters>
  <Application>Microsoft Office Word</Application>
  <DocSecurity>0</DocSecurity>
  <Lines>33</Lines>
  <Paragraphs>9</Paragraphs>
  <ScaleCrop>false</ScaleCrop>
  <Company/>
  <LinksUpToDate>false</LinksUpToDate>
  <CharactersWithSpaces>4674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 Sofia Herazo Castelblanco</dc:creator>
  <cp:keywords/>
  <dc:description/>
  <cp:lastModifiedBy>Ana Sofia Herazo Castelblanco</cp:lastModifiedBy>
  <cp:revision>18</cp:revision>
  <dcterms:created xsi:type="dcterms:W3CDTF">2025-10-23T17:12:00Z</dcterms:created>
  <dcterms:modified xsi:type="dcterms:W3CDTF">2025-10-27T19:39:00Z</dcterms:modified>
</cp:coreProperties>
</file>